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ind w:right="600"/>
        <w:jc w:val="center"/>
        <w:rPr>
          <w:rFonts w:ascii="宋体" w:cs="宋体"/>
          <w:b/>
          <w:bCs/>
          <w:color w:val="auto"/>
          <w:sz w:val="28"/>
          <w:szCs w:val="28"/>
        </w:rPr>
      </w:pPr>
      <w:bookmarkStart w:id="0" w:name="_Toc26627"/>
      <w:r>
        <w:rPr>
          <w:rFonts w:ascii="宋体" w:hAnsi="宋体" w:cs="宋体"/>
          <w:b/>
          <w:bCs/>
          <w:color w:val="auto"/>
          <w:sz w:val="28"/>
          <w:szCs w:val="28"/>
        </w:rPr>
        <w:t xml:space="preserve">                </w:t>
      </w:r>
      <w:r>
        <w:rPr>
          <w:rFonts w:hint="eastAsia" w:ascii="宋体" w:hAnsi="宋体" w:cs="宋体"/>
          <w:b/>
          <w:bCs/>
          <w:color w:val="auto"/>
          <w:sz w:val="28"/>
          <w:szCs w:val="28"/>
          <w:lang w:val="en-US" w:eastAsia="zh-CN"/>
        </w:rPr>
        <w:t xml:space="preserve">  </w:t>
      </w:r>
      <w:r>
        <w:rPr>
          <w:rFonts w:ascii="宋体" w:hAnsi="宋体" w:cs="宋体"/>
          <w:b/>
          <w:bCs/>
          <w:color w:val="auto"/>
          <w:sz w:val="28"/>
          <w:szCs w:val="28"/>
        </w:rPr>
        <w:t xml:space="preserve">      </w:t>
      </w:r>
      <w:r>
        <w:rPr>
          <w:rFonts w:hint="eastAsia" w:ascii="宋体" w:hAnsi="宋体" w:cs="宋体"/>
          <w:b/>
          <w:bCs/>
          <w:color w:val="auto"/>
          <w:sz w:val="28"/>
          <w:szCs w:val="28"/>
        </w:rPr>
        <w:t>本招标文件经</w:t>
      </w:r>
      <w:r>
        <w:rPr>
          <w:rFonts w:hint="eastAsia" w:ascii="宋体" w:hAnsi="宋体" w:cs="宋体"/>
          <w:b/>
          <w:bCs/>
          <w:color w:val="auto"/>
          <w:sz w:val="28"/>
          <w:szCs w:val="28"/>
          <w:lang w:eastAsia="zh-CN"/>
        </w:rPr>
        <w:t>采购人</w:t>
      </w:r>
      <w:r>
        <w:rPr>
          <w:rFonts w:hint="eastAsia" w:ascii="宋体" w:hAnsi="宋体" w:cs="宋体"/>
          <w:b/>
          <w:bCs/>
          <w:color w:val="auto"/>
          <w:sz w:val="28"/>
          <w:szCs w:val="28"/>
        </w:rPr>
        <w:t>审核确认，同意发布。</w:t>
      </w:r>
    </w:p>
    <w:p>
      <w:pPr>
        <w:spacing w:line="480" w:lineRule="exact"/>
        <w:ind w:firstLine="2836" w:firstLineChars="1345"/>
        <w:rPr>
          <w:rFonts w:ascii="宋体" w:hAnsi="宋体" w:cs="宋体"/>
          <w:b/>
          <w:bCs/>
          <w:color w:val="auto"/>
          <w:sz w:val="28"/>
          <w:szCs w:val="28"/>
        </w:rPr>
      </w:pPr>
      <w:r>
        <w:rPr>
          <w:rFonts w:ascii="宋体" w:hAnsi="宋体" w:cs="宋体"/>
          <w:b/>
          <w:color w:val="auto"/>
        </w:rPr>
        <w:t xml:space="preserve">                                </w:t>
      </w:r>
      <w:r>
        <w:rPr>
          <w:rFonts w:hint="eastAsia" w:ascii="宋体" w:hAnsi="宋体" w:cs="宋体"/>
          <w:b/>
          <w:bCs/>
          <w:color w:val="auto"/>
          <w:sz w:val="28"/>
          <w:szCs w:val="28"/>
          <w:lang w:eastAsia="zh-CN"/>
        </w:rPr>
        <w:t>采购人</w:t>
      </w:r>
      <w:r>
        <w:rPr>
          <w:rFonts w:hint="eastAsia" w:ascii="宋体" w:hAnsi="宋体" w:cs="宋体"/>
          <w:b/>
          <w:bCs/>
          <w:color w:val="auto"/>
          <w:sz w:val="28"/>
          <w:szCs w:val="28"/>
        </w:rPr>
        <w:t>盖章：</w:t>
      </w:r>
      <w:r>
        <w:rPr>
          <w:rFonts w:ascii="宋体" w:hAnsi="宋体" w:cs="宋体"/>
          <w:b/>
          <w:bCs/>
          <w:color w:val="auto"/>
          <w:sz w:val="28"/>
          <w:szCs w:val="28"/>
        </w:rPr>
        <w:t xml:space="preserve">                  </w:t>
      </w:r>
    </w:p>
    <w:p>
      <w:pPr>
        <w:ind w:left="6581" w:leftChars="3134"/>
        <w:rPr>
          <w:rFonts w:ascii="宋体" w:cs="宋体"/>
          <w:b/>
          <w:color w:val="auto"/>
          <w:sz w:val="72"/>
          <w:szCs w:val="72"/>
        </w:rPr>
      </w:pPr>
      <w:r>
        <w:rPr>
          <w:rFonts w:ascii="宋体" w:hAnsi="宋体" w:cs="宋体"/>
          <w:b/>
          <w:color w:val="auto"/>
          <w:sz w:val="28"/>
          <w:szCs w:val="28"/>
        </w:rPr>
        <w:t xml:space="preserve">                 </w:t>
      </w:r>
      <w:r>
        <w:rPr>
          <w:rFonts w:ascii="宋体" w:hAnsi="宋体" w:cs="宋体"/>
          <w:b/>
          <w:color w:val="auto"/>
        </w:rPr>
        <w:t xml:space="preserve"> </w:t>
      </w:r>
    </w:p>
    <w:p>
      <w:pPr>
        <w:spacing w:line="264" w:lineRule="auto"/>
        <w:jc w:val="center"/>
        <w:rPr>
          <w:rFonts w:hint="eastAsia" w:ascii="宋体" w:hAnsi="宋体" w:cs="宋体"/>
          <w:b/>
          <w:color w:val="auto"/>
          <w:sz w:val="72"/>
          <w:szCs w:val="72"/>
          <w:lang w:eastAsia="zh-CN"/>
        </w:rPr>
      </w:pPr>
    </w:p>
    <w:p>
      <w:pPr>
        <w:spacing w:line="264" w:lineRule="auto"/>
        <w:jc w:val="center"/>
        <w:rPr>
          <w:rFonts w:hint="eastAsia" w:ascii="宋体" w:hAnsi="宋体" w:cs="宋体"/>
          <w:b/>
          <w:color w:val="auto"/>
          <w:sz w:val="72"/>
          <w:szCs w:val="72"/>
          <w:lang w:eastAsia="zh-CN"/>
        </w:rPr>
      </w:pPr>
    </w:p>
    <w:p>
      <w:pPr>
        <w:spacing w:line="264" w:lineRule="auto"/>
        <w:jc w:val="center"/>
        <w:rPr>
          <w:rFonts w:ascii="宋体" w:cs="宋体"/>
          <w:b/>
          <w:color w:val="auto"/>
          <w:sz w:val="84"/>
          <w:szCs w:val="84"/>
        </w:rPr>
      </w:pPr>
      <w:r>
        <w:rPr>
          <w:rFonts w:hint="eastAsia" w:ascii="宋体" w:hAnsi="宋体" w:cs="宋体"/>
          <w:b/>
          <w:color w:val="auto"/>
          <w:sz w:val="72"/>
          <w:szCs w:val="72"/>
          <w:lang w:eastAsia="zh-CN"/>
        </w:rPr>
        <w:t>邀请</w:t>
      </w:r>
      <w:r>
        <w:rPr>
          <w:rFonts w:hint="eastAsia" w:ascii="宋体" w:hAnsi="宋体" w:cs="宋体"/>
          <w:b/>
          <w:color w:val="auto"/>
          <w:sz w:val="72"/>
          <w:szCs w:val="72"/>
        </w:rPr>
        <w:t>招标文件</w:t>
      </w:r>
    </w:p>
    <w:p>
      <w:pPr>
        <w:tabs>
          <w:tab w:val="left" w:pos="4008"/>
        </w:tabs>
        <w:spacing w:line="264" w:lineRule="auto"/>
        <w:rPr>
          <w:rFonts w:ascii="宋体" w:cs="宋体"/>
          <w:b/>
          <w:color w:val="auto"/>
          <w:sz w:val="32"/>
          <w:szCs w:val="32"/>
        </w:rPr>
      </w:pPr>
    </w:p>
    <w:p>
      <w:pPr>
        <w:tabs>
          <w:tab w:val="left" w:pos="4008"/>
        </w:tabs>
        <w:spacing w:line="264" w:lineRule="auto"/>
        <w:rPr>
          <w:color w:val="auto"/>
        </w:rPr>
      </w:pPr>
      <w:r>
        <w:rPr>
          <w:rFonts w:ascii="宋体" w:hAnsi="宋体" w:cs="宋体"/>
          <w:b/>
          <w:color w:val="auto"/>
          <w:sz w:val="32"/>
          <w:szCs w:val="32"/>
        </w:rPr>
        <w:t xml:space="preserve">                     </w:t>
      </w:r>
    </w:p>
    <w:p>
      <w:pPr>
        <w:tabs>
          <w:tab w:val="left" w:pos="4008"/>
        </w:tabs>
        <w:spacing w:line="360" w:lineRule="auto"/>
        <w:rPr>
          <w:rFonts w:hint="eastAsia" w:ascii="宋体" w:hAnsi="宋体" w:cs="宋体"/>
          <w:b/>
          <w:color w:val="auto"/>
          <w:sz w:val="32"/>
          <w:szCs w:val="28"/>
        </w:rPr>
      </w:pPr>
    </w:p>
    <w:p>
      <w:pPr>
        <w:tabs>
          <w:tab w:val="left" w:pos="4008"/>
        </w:tabs>
        <w:spacing w:line="360" w:lineRule="auto"/>
        <w:jc w:val="center"/>
        <w:rPr>
          <w:rFonts w:hint="eastAsia" w:ascii="宋体" w:hAnsi="宋体" w:eastAsia="宋体" w:cs="宋体"/>
          <w:b/>
          <w:color w:val="auto"/>
          <w:sz w:val="32"/>
          <w:szCs w:val="28"/>
          <w:lang w:eastAsia="zh-CN"/>
        </w:rPr>
      </w:pPr>
      <w:r>
        <w:rPr>
          <w:rFonts w:hint="eastAsia" w:ascii="宋体" w:hAnsi="宋体" w:cs="宋体"/>
          <w:b/>
          <w:color w:val="auto"/>
          <w:sz w:val="32"/>
          <w:szCs w:val="28"/>
        </w:rPr>
        <w:t>项目编号：</w:t>
      </w:r>
      <w:r>
        <w:rPr>
          <w:rFonts w:hint="eastAsia" w:ascii="宋体" w:hAnsi="宋体" w:cs="宋体"/>
          <w:b/>
          <w:color w:val="auto"/>
          <w:sz w:val="32"/>
          <w:szCs w:val="28"/>
          <w:lang w:eastAsia="zh-CN"/>
        </w:rPr>
        <w:t xml:space="preserve">PTXC20210770 </w:t>
      </w:r>
    </w:p>
    <w:p>
      <w:pPr>
        <w:tabs>
          <w:tab w:val="left" w:pos="4008"/>
        </w:tabs>
        <w:spacing w:line="360" w:lineRule="auto"/>
        <w:jc w:val="center"/>
        <w:rPr>
          <w:rFonts w:hint="eastAsia" w:ascii="宋体" w:eastAsia="宋体" w:cs="宋体"/>
          <w:b/>
          <w:color w:val="auto"/>
          <w:sz w:val="32"/>
          <w:szCs w:val="28"/>
          <w:lang w:val="en-US" w:eastAsia="zh-CN"/>
        </w:rPr>
      </w:pPr>
      <w:r>
        <w:rPr>
          <w:rFonts w:hint="eastAsia" w:ascii="宋体" w:hAnsi="宋体" w:cs="宋体"/>
          <w:b/>
          <w:color w:val="auto"/>
          <w:sz w:val="32"/>
          <w:szCs w:val="28"/>
        </w:rPr>
        <w:t>项目名称：</w:t>
      </w:r>
      <w:r>
        <w:rPr>
          <w:rFonts w:hint="eastAsia" w:ascii="宋体" w:hAnsi="宋体" w:cs="宋体"/>
          <w:b/>
          <w:color w:val="auto"/>
          <w:sz w:val="32"/>
          <w:szCs w:val="28"/>
          <w:lang w:eastAsia="zh-CN"/>
        </w:rPr>
        <w:t>南日岛·海洋体验馆改造升级采购项目</w:t>
      </w:r>
    </w:p>
    <w:p>
      <w:pPr>
        <w:spacing w:line="360" w:lineRule="auto"/>
        <w:rPr>
          <w:rFonts w:ascii="宋体" w:cs="宋体"/>
          <w:b/>
          <w:color w:val="auto"/>
          <w:sz w:val="32"/>
          <w:szCs w:val="28"/>
        </w:rPr>
      </w:pPr>
    </w:p>
    <w:p>
      <w:pPr>
        <w:spacing w:line="500" w:lineRule="exact"/>
        <w:rPr>
          <w:rFonts w:ascii="宋体" w:cs="宋体"/>
          <w:b/>
          <w:color w:val="auto"/>
          <w:sz w:val="32"/>
          <w:szCs w:val="28"/>
        </w:rPr>
      </w:pPr>
    </w:p>
    <w:p>
      <w:pPr>
        <w:spacing w:line="500" w:lineRule="exact"/>
        <w:rPr>
          <w:rFonts w:ascii="宋体" w:hAnsi="宋体" w:cs="宋体"/>
          <w:b/>
          <w:color w:val="auto"/>
          <w:sz w:val="32"/>
          <w:szCs w:val="28"/>
        </w:rPr>
      </w:pPr>
      <w:r>
        <w:rPr>
          <w:rFonts w:ascii="宋体" w:hAnsi="宋体" w:cs="宋体"/>
          <w:b/>
          <w:color w:val="auto"/>
          <w:sz w:val="32"/>
          <w:szCs w:val="28"/>
        </w:rPr>
        <w:t xml:space="preserve"> </w:t>
      </w:r>
    </w:p>
    <w:p>
      <w:pPr>
        <w:pStyle w:val="2"/>
        <w:ind w:left="0" w:leftChars="0" w:firstLine="0" w:firstLineChars="0"/>
        <w:rPr>
          <w:rFonts w:ascii="宋体" w:hAnsi="宋体" w:eastAsia="宋体" w:cs="宋体"/>
          <w:b/>
          <w:color w:val="auto"/>
          <w:szCs w:val="28"/>
        </w:rPr>
      </w:pPr>
    </w:p>
    <w:p>
      <w:pPr>
        <w:pStyle w:val="2"/>
        <w:ind w:left="0" w:leftChars="0" w:firstLine="0" w:firstLineChars="0"/>
        <w:rPr>
          <w:rFonts w:ascii="宋体" w:hAnsi="宋体" w:eastAsia="宋体" w:cs="宋体"/>
          <w:b/>
          <w:color w:val="auto"/>
          <w:szCs w:val="28"/>
        </w:rPr>
      </w:pPr>
    </w:p>
    <w:p>
      <w:pPr>
        <w:pStyle w:val="27"/>
        <w:ind w:left="0" w:leftChars="0" w:firstLine="0" w:firstLineChars="0"/>
        <w:rPr>
          <w:color w:val="auto"/>
        </w:rPr>
      </w:pPr>
    </w:p>
    <w:p>
      <w:pPr>
        <w:tabs>
          <w:tab w:val="left" w:pos="4008"/>
        </w:tabs>
        <w:spacing w:line="500" w:lineRule="exact"/>
        <w:ind w:firstLine="1606" w:firstLineChars="500"/>
        <w:rPr>
          <w:rFonts w:hint="eastAsia" w:ascii="宋体" w:eastAsia="宋体" w:cs="宋体"/>
          <w:b/>
          <w:color w:val="auto"/>
          <w:sz w:val="32"/>
          <w:szCs w:val="28"/>
          <w:lang w:eastAsia="zh-CN"/>
        </w:rPr>
      </w:pPr>
      <w:r>
        <w:rPr>
          <w:rFonts w:hint="eastAsia" w:ascii="宋体" w:hAnsi="宋体" w:cs="宋体"/>
          <w:b/>
          <w:color w:val="auto"/>
          <w:sz w:val="32"/>
          <w:szCs w:val="28"/>
          <w:lang w:eastAsia="zh-CN"/>
        </w:rPr>
        <w:t>采购人</w:t>
      </w:r>
      <w:r>
        <w:rPr>
          <w:rFonts w:hint="eastAsia" w:ascii="宋体" w:hAnsi="宋体" w:cs="宋体"/>
          <w:b/>
          <w:color w:val="auto"/>
          <w:sz w:val="32"/>
          <w:szCs w:val="28"/>
        </w:rPr>
        <w:t>：</w:t>
      </w:r>
      <w:r>
        <w:rPr>
          <w:rFonts w:hint="eastAsia" w:ascii="宋体" w:hAnsi="宋体" w:cs="宋体"/>
          <w:b/>
          <w:color w:val="auto"/>
          <w:sz w:val="32"/>
          <w:szCs w:val="28"/>
          <w:lang w:eastAsia="zh-CN"/>
        </w:rPr>
        <w:t>莆田市振兴乡村科技服务股份有限公司</w:t>
      </w:r>
    </w:p>
    <w:p>
      <w:pPr>
        <w:spacing w:line="500" w:lineRule="exact"/>
        <w:ind w:firstLine="964" w:firstLineChars="300"/>
        <w:rPr>
          <w:rFonts w:ascii="宋体" w:cs="宋体"/>
          <w:b/>
          <w:color w:val="auto"/>
          <w:sz w:val="32"/>
          <w:szCs w:val="28"/>
        </w:rPr>
      </w:pPr>
      <w:r>
        <w:rPr>
          <w:rFonts w:ascii="宋体" w:hAnsi="宋体" w:cs="宋体"/>
          <w:b/>
          <w:color w:val="auto"/>
          <w:sz w:val="32"/>
          <w:szCs w:val="28"/>
        </w:rPr>
        <w:t xml:space="preserve">    </w:t>
      </w:r>
      <w:r>
        <w:rPr>
          <w:rFonts w:hint="eastAsia" w:ascii="宋体" w:hAnsi="宋体" w:cs="宋体"/>
          <w:b/>
          <w:color w:val="auto"/>
          <w:sz w:val="32"/>
          <w:szCs w:val="28"/>
        </w:rPr>
        <w:t>招标代理机构：莆田市信成造价咨询有限公司</w:t>
      </w:r>
    </w:p>
    <w:p>
      <w:pPr>
        <w:tabs>
          <w:tab w:val="left" w:pos="4008"/>
        </w:tabs>
        <w:spacing w:line="500" w:lineRule="exact"/>
        <w:ind w:firstLine="3855" w:firstLineChars="1200"/>
        <w:rPr>
          <w:rFonts w:ascii="宋体" w:cs="宋体"/>
          <w:b/>
          <w:color w:val="auto"/>
          <w:sz w:val="28"/>
        </w:rPr>
      </w:pPr>
      <w:r>
        <w:rPr>
          <w:rFonts w:hint="eastAsia" w:ascii="宋体" w:hAnsi="宋体" w:cs="宋体"/>
          <w:b/>
          <w:color w:val="auto"/>
          <w:sz w:val="32"/>
          <w:szCs w:val="28"/>
        </w:rPr>
        <w:t>二○二</w:t>
      </w:r>
      <w:r>
        <w:rPr>
          <w:rFonts w:hint="eastAsia" w:ascii="宋体" w:hAnsi="宋体" w:cs="宋体"/>
          <w:b/>
          <w:color w:val="auto"/>
          <w:sz w:val="32"/>
          <w:szCs w:val="28"/>
          <w:lang w:val="en-US" w:eastAsia="zh-CN"/>
        </w:rPr>
        <w:t>一</w:t>
      </w:r>
      <w:r>
        <w:rPr>
          <w:rFonts w:hint="eastAsia" w:ascii="宋体" w:hAnsi="宋体" w:cs="宋体"/>
          <w:b/>
          <w:color w:val="auto"/>
          <w:sz w:val="32"/>
          <w:szCs w:val="28"/>
        </w:rPr>
        <w:t>年</w:t>
      </w:r>
      <w:r>
        <w:rPr>
          <w:rFonts w:hint="eastAsia" w:ascii="宋体" w:hAnsi="宋体" w:cs="宋体"/>
          <w:b/>
          <w:color w:val="auto"/>
          <w:sz w:val="32"/>
          <w:szCs w:val="28"/>
          <w:lang w:val="en-US" w:eastAsia="zh-CN"/>
        </w:rPr>
        <w:t>七</w:t>
      </w:r>
      <w:r>
        <w:rPr>
          <w:rFonts w:hint="eastAsia" w:ascii="宋体" w:hAnsi="宋体" w:cs="宋体"/>
          <w:b/>
          <w:color w:val="auto"/>
          <w:sz w:val="32"/>
          <w:szCs w:val="28"/>
        </w:rPr>
        <w:t xml:space="preserve">月  </w:t>
      </w:r>
      <w:r>
        <w:rPr>
          <w:rFonts w:ascii="宋体" w:hAnsi="宋体" w:cs="宋体"/>
          <w:b/>
          <w:color w:val="auto"/>
          <w:sz w:val="32"/>
          <w:szCs w:val="28"/>
        </w:rPr>
        <w:t xml:space="preserve">       </w:t>
      </w:r>
      <w:r>
        <w:rPr>
          <w:rFonts w:ascii="宋体" w:hAnsi="宋体" w:cs="宋体"/>
          <w:b/>
          <w:color w:val="auto"/>
          <w:sz w:val="40"/>
          <w:szCs w:val="32"/>
        </w:rPr>
        <w:t xml:space="preserve">           </w:t>
      </w:r>
    </w:p>
    <w:p>
      <w:pPr>
        <w:spacing w:line="264" w:lineRule="auto"/>
        <w:ind w:left="420" w:leftChars="200"/>
        <w:jc w:val="center"/>
        <w:rPr>
          <w:rFonts w:ascii="宋体" w:cs="宋体"/>
          <w:b/>
          <w:color w:val="auto"/>
          <w:sz w:val="40"/>
          <w:szCs w:val="32"/>
        </w:rPr>
      </w:pPr>
    </w:p>
    <w:p>
      <w:pPr>
        <w:pStyle w:val="7"/>
      </w:pPr>
    </w:p>
    <w:p>
      <w:pPr>
        <w:spacing w:line="264" w:lineRule="auto"/>
        <w:jc w:val="center"/>
        <w:rPr>
          <w:rFonts w:ascii="宋体" w:cs="宋体"/>
          <w:b/>
          <w:color w:val="auto"/>
          <w:sz w:val="40"/>
          <w:szCs w:val="32"/>
        </w:rPr>
      </w:pPr>
      <w:r>
        <w:rPr>
          <w:rFonts w:hint="eastAsia" w:ascii="宋体" w:hAnsi="宋体" w:cs="宋体"/>
          <w:b/>
          <w:color w:val="auto"/>
          <w:sz w:val="40"/>
          <w:szCs w:val="32"/>
        </w:rPr>
        <w:t>目</w:t>
      </w:r>
      <w:r>
        <w:rPr>
          <w:rFonts w:ascii="宋体" w:hAnsi="宋体" w:cs="宋体"/>
          <w:b/>
          <w:color w:val="auto"/>
          <w:sz w:val="40"/>
          <w:szCs w:val="32"/>
        </w:rPr>
        <w:t xml:space="preserve">    </w:t>
      </w:r>
      <w:r>
        <w:rPr>
          <w:rFonts w:hint="eastAsia" w:ascii="宋体" w:hAnsi="宋体" w:cs="宋体"/>
          <w:b/>
          <w:color w:val="auto"/>
          <w:sz w:val="40"/>
          <w:szCs w:val="32"/>
        </w:rPr>
        <w:t>录</w:t>
      </w:r>
    </w:p>
    <w:p>
      <w:pPr>
        <w:spacing w:line="264" w:lineRule="auto"/>
        <w:ind w:left="420" w:leftChars="200"/>
        <w:jc w:val="center"/>
        <w:rPr>
          <w:rFonts w:ascii="宋体" w:cs="宋体"/>
          <w:b/>
          <w:color w:val="auto"/>
          <w:sz w:val="40"/>
          <w:szCs w:val="32"/>
        </w:rPr>
      </w:pPr>
    </w:p>
    <w:p>
      <w:pPr>
        <w:pStyle w:val="13"/>
        <w:tabs>
          <w:tab w:val="left" w:pos="930"/>
          <w:tab w:val="right" w:leader="dot" w:pos="8636"/>
          <w:tab w:val="clear" w:pos="8296"/>
        </w:tabs>
        <w:spacing w:line="480" w:lineRule="auto"/>
        <w:jc w:val="left"/>
        <w:rPr>
          <w:rFonts w:cs="宋体"/>
          <w:color w:val="auto"/>
        </w:rPr>
      </w:pPr>
      <w:r>
        <w:rPr>
          <w:rFonts w:cs="宋体"/>
          <w:color w:val="auto"/>
          <w:sz w:val="24"/>
          <w:szCs w:val="24"/>
        </w:rPr>
        <w:fldChar w:fldCharType="begin"/>
      </w:r>
      <w:r>
        <w:rPr>
          <w:rFonts w:cs="宋体"/>
          <w:color w:val="auto"/>
          <w:sz w:val="24"/>
          <w:szCs w:val="24"/>
        </w:rPr>
        <w:instrText xml:space="preserve"> TOC \o "1-3" \h \z \u </w:instrText>
      </w:r>
      <w:r>
        <w:rPr>
          <w:rFonts w:cs="宋体"/>
          <w:color w:val="auto"/>
          <w:sz w:val="24"/>
          <w:szCs w:val="24"/>
        </w:rPr>
        <w:fldChar w:fldCharType="separate"/>
      </w:r>
      <w:r>
        <w:rPr>
          <w:color w:val="auto"/>
        </w:rPr>
        <w:fldChar w:fldCharType="begin"/>
      </w:r>
      <w:r>
        <w:rPr>
          <w:color w:val="auto"/>
        </w:rPr>
        <w:instrText xml:space="preserve"> HYPERLINK \l "_Toc394258999" </w:instrText>
      </w:r>
      <w:r>
        <w:rPr>
          <w:color w:val="auto"/>
        </w:rPr>
        <w:fldChar w:fldCharType="separate"/>
      </w:r>
      <w:r>
        <w:rPr>
          <w:rStyle w:val="25"/>
          <w:rFonts w:hint="eastAsia" w:cs="宋体"/>
          <w:color w:val="auto"/>
        </w:rPr>
        <w:t>第一章</w:t>
      </w:r>
      <w:r>
        <w:rPr>
          <w:rStyle w:val="25"/>
          <w:rFonts w:cs="宋体"/>
          <w:color w:val="auto"/>
        </w:rPr>
        <w:t xml:space="preserve"> </w:t>
      </w:r>
      <w:r>
        <w:rPr>
          <w:rStyle w:val="25"/>
          <w:rFonts w:hint="eastAsia" w:cs="宋体"/>
          <w:color w:val="auto"/>
        </w:rPr>
        <w:t>投标邀请</w:t>
      </w:r>
      <w:r>
        <w:rPr>
          <w:rFonts w:cs="宋体"/>
          <w:color w:val="auto"/>
        </w:rPr>
        <w:tab/>
      </w:r>
      <w:r>
        <w:rPr>
          <w:rFonts w:cs="宋体"/>
          <w:color w:val="auto"/>
        </w:rPr>
        <w:t>3</w:t>
      </w:r>
      <w:r>
        <w:rPr>
          <w:rFonts w:cs="宋体"/>
          <w:color w:val="auto"/>
        </w:rPr>
        <w:fldChar w:fldCharType="end"/>
      </w:r>
    </w:p>
    <w:p>
      <w:pPr>
        <w:pStyle w:val="13"/>
        <w:tabs>
          <w:tab w:val="right" w:leader="dot" w:pos="8636"/>
          <w:tab w:val="clear" w:pos="8296"/>
        </w:tabs>
        <w:spacing w:line="480" w:lineRule="auto"/>
        <w:jc w:val="both"/>
        <w:rPr>
          <w:rFonts w:cs="宋体"/>
          <w:color w:val="auto"/>
        </w:rPr>
      </w:pPr>
      <w:r>
        <w:rPr>
          <w:color w:val="auto"/>
        </w:rPr>
        <w:fldChar w:fldCharType="begin"/>
      </w:r>
      <w:r>
        <w:rPr>
          <w:color w:val="auto"/>
        </w:rPr>
        <w:instrText xml:space="preserve"> HYPERLINK \l "_Toc394259002" </w:instrText>
      </w:r>
      <w:r>
        <w:rPr>
          <w:color w:val="auto"/>
        </w:rPr>
        <w:fldChar w:fldCharType="separate"/>
      </w:r>
      <w:r>
        <w:rPr>
          <w:rStyle w:val="25"/>
          <w:rFonts w:hint="eastAsia" w:cs="宋体"/>
          <w:bCs/>
          <w:color w:val="auto"/>
        </w:rPr>
        <w:t>第二章</w:t>
      </w:r>
      <w:r>
        <w:rPr>
          <w:rStyle w:val="25"/>
          <w:rFonts w:cs="宋体"/>
          <w:bCs/>
          <w:color w:val="auto"/>
        </w:rPr>
        <w:t xml:space="preserve"> </w:t>
      </w:r>
      <w:r>
        <w:rPr>
          <w:rStyle w:val="25"/>
          <w:rFonts w:hint="eastAsia" w:cs="宋体"/>
          <w:bCs/>
          <w:color w:val="auto"/>
        </w:rPr>
        <w:t>投标人须知前附表</w:t>
      </w:r>
      <w:r>
        <w:rPr>
          <w:rFonts w:cs="宋体"/>
          <w:color w:val="auto"/>
        </w:rPr>
        <w:tab/>
      </w:r>
      <w:r>
        <w:rPr>
          <w:rFonts w:hint="eastAsia" w:cs="宋体"/>
          <w:color w:val="auto"/>
          <w:lang w:val="en-US" w:eastAsia="zh-CN"/>
        </w:rPr>
        <w:t>6</w:t>
      </w:r>
      <w:r>
        <w:rPr>
          <w:rFonts w:cs="宋体"/>
          <w:color w:val="auto"/>
        </w:rPr>
        <w:fldChar w:fldCharType="end"/>
      </w:r>
    </w:p>
    <w:p>
      <w:pPr>
        <w:pStyle w:val="13"/>
        <w:tabs>
          <w:tab w:val="right" w:leader="dot" w:pos="8636"/>
          <w:tab w:val="clear" w:pos="8296"/>
        </w:tabs>
        <w:spacing w:line="480" w:lineRule="auto"/>
        <w:jc w:val="both"/>
        <w:rPr>
          <w:rFonts w:cs="宋体"/>
          <w:color w:val="auto"/>
        </w:rPr>
      </w:pPr>
      <w:r>
        <w:rPr>
          <w:color w:val="auto"/>
        </w:rPr>
        <w:fldChar w:fldCharType="begin"/>
      </w:r>
      <w:r>
        <w:rPr>
          <w:color w:val="auto"/>
        </w:rPr>
        <w:instrText xml:space="preserve"> HYPERLINK \l "_Toc394259010" </w:instrText>
      </w:r>
      <w:r>
        <w:rPr>
          <w:color w:val="auto"/>
        </w:rPr>
        <w:fldChar w:fldCharType="separate"/>
      </w:r>
      <w:r>
        <w:rPr>
          <w:rStyle w:val="25"/>
          <w:rFonts w:hint="eastAsia" w:cs="宋体"/>
          <w:color w:val="auto"/>
        </w:rPr>
        <w:t>第三章</w:t>
      </w:r>
      <w:r>
        <w:rPr>
          <w:rStyle w:val="25"/>
          <w:rFonts w:cs="宋体"/>
          <w:color w:val="auto"/>
        </w:rPr>
        <w:t xml:space="preserve"> </w:t>
      </w:r>
      <w:r>
        <w:rPr>
          <w:rStyle w:val="25"/>
          <w:rFonts w:hint="eastAsia" w:cs="宋体"/>
          <w:bCs/>
          <w:color w:val="auto"/>
        </w:rPr>
        <w:t>投标人须知</w:t>
      </w:r>
      <w:r>
        <w:rPr>
          <w:rFonts w:cs="宋体"/>
          <w:color w:val="auto"/>
        </w:rPr>
        <w:tab/>
      </w:r>
      <w:r>
        <w:rPr>
          <w:rFonts w:hint="eastAsia" w:cs="宋体"/>
          <w:color w:val="auto"/>
          <w:lang w:val="en-US" w:eastAsia="zh-CN"/>
        </w:rPr>
        <w:t>9</w:t>
      </w:r>
      <w:r>
        <w:rPr>
          <w:rFonts w:cs="宋体"/>
          <w:color w:val="auto"/>
        </w:rPr>
        <w:fldChar w:fldCharType="end"/>
      </w:r>
    </w:p>
    <w:p>
      <w:pPr>
        <w:pStyle w:val="13"/>
        <w:tabs>
          <w:tab w:val="right" w:leader="dot" w:pos="8636"/>
          <w:tab w:val="clear" w:pos="8296"/>
        </w:tabs>
        <w:spacing w:line="480" w:lineRule="auto"/>
        <w:jc w:val="both"/>
        <w:rPr>
          <w:rFonts w:hint="eastAsia" w:eastAsia="宋体" w:cs="宋体"/>
          <w:color w:val="auto"/>
          <w:lang w:val="en-US" w:eastAsia="zh-CN"/>
        </w:rPr>
      </w:pPr>
      <w:r>
        <w:rPr>
          <w:color w:val="auto"/>
        </w:rPr>
        <w:fldChar w:fldCharType="begin"/>
      </w:r>
      <w:r>
        <w:rPr>
          <w:color w:val="auto"/>
        </w:rPr>
        <w:instrText xml:space="preserve"> HYPERLINK \l "_Toc394259011" </w:instrText>
      </w:r>
      <w:r>
        <w:rPr>
          <w:color w:val="auto"/>
        </w:rPr>
        <w:fldChar w:fldCharType="separate"/>
      </w:r>
      <w:r>
        <w:rPr>
          <w:rStyle w:val="25"/>
          <w:rFonts w:hint="eastAsia" w:cs="宋体"/>
          <w:color w:val="auto"/>
        </w:rPr>
        <w:t>第四章</w:t>
      </w:r>
      <w:r>
        <w:rPr>
          <w:rStyle w:val="25"/>
          <w:rFonts w:cs="宋体"/>
          <w:color w:val="auto"/>
        </w:rPr>
        <w:t xml:space="preserve"> </w:t>
      </w:r>
      <w:r>
        <w:rPr>
          <w:rStyle w:val="25"/>
          <w:rFonts w:hint="eastAsia" w:cs="宋体"/>
          <w:color w:val="auto"/>
        </w:rPr>
        <w:t>资格审查与评标</w:t>
      </w:r>
      <w:r>
        <w:rPr>
          <w:rFonts w:cs="宋体"/>
          <w:color w:val="auto"/>
        </w:rPr>
        <w:tab/>
      </w:r>
      <w:r>
        <w:rPr>
          <w:rFonts w:hint="eastAsia" w:cs="宋体"/>
          <w:color w:val="auto"/>
          <w:lang w:val="en-US" w:eastAsia="zh-CN"/>
        </w:rPr>
        <w:t>2</w:t>
      </w:r>
      <w:r>
        <w:rPr>
          <w:rFonts w:cs="宋体"/>
          <w:color w:val="auto"/>
        </w:rPr>
        <w:fldChar w:fldCharType="end"/>
      </w:r>
      <w:r>
        <w:rPr>
          <w:rFonts w:hint="eastAsia" w:cs="宋体"/>
          <w:color w:val="auto"/>
          <w:lang w:val="en-US" w:eastAsia="zh-CN"/>
        </w:rPr>
        <w:t>2</w:t>
      </w:r>
    </w:p>
    <w:p>
      <w:pPr>
        <w:pStyle w:val="13"/>
        <w:tabs>
          <w:tab w:val="right" w:leader="dot" w:pos="8636"/>
          <w:tab w:val="clear" w:pos="8296"/>
        </w:tabs>
        <w:spacing w:line="480" w:lineRule="auto"/>
        <w:jc w:val="both"/>
        <w:rPr>
          <w:rFonts w:hint="eastAsia" w:eastAsia="宋体" w:cs="宋体"/>
          <w:color w:val="auto"/>
          <w:lang w:val="en-US" w:eastAsia="zh-CN"/>
        </w:rPr>
      </w:pPr>
      <w:r>
        <w:rPr>
          <w:color w:val="auto"/>
        </w:rPr>
        <w:fldChar w:fldCharType="begin"/>
      </w:r>
      <w:r>
        <w:rPr>
          <w:color w:val="auto"/>
        </w:rPr>
        <w:instrText xml:space="preserve"> HYPERLINK \l "_Toc394259012" </w:instrText>
      </w:r>
      <w:r>
        <w:rPr>
          <w:color w:val="auto"/>
        </w:rPr>
        <w:fldChar w:fldCharType="separate"/>
      </w:r>
      <w:r>
        <w:rPr>
          <w:rStyle w:val="25"/>
          <w:rFonts w:hint="eastAsia" w:cs="宋体"/>
          <w:bCs/>
          <w:color w:val="auto"/>
        </w:rPr>
        <w:t>第五章</w:t>
      </w:r>
      <w:r>
        <w:rPr>
          <w:rStyle w:val="25"/>
          <w:rFonts w:cs="宋体"/>
          <w:bCs/>
          <w:color w:val="auto"/>
        </w:rPr>
        <w:t xml:space="preserve"> </w:t>
      </w:r>
      <w:r>
        <w:rPr>
          <w:rStyle w:val="25"/>
          <w:rFonts w:hint="eastAsia" w:cs="宋体"/>
          <w:bCs/>
          <w:color w:val="auto"/>
        </w:rPr>
        <w:t>招标内容及要求</w:t>
      </w:r>
      <w:r>
        <w:rPr>
          <w:rFonts w:cs="宋体"/>
          <w:color w:val="auto"/>
        </w:rPr>
        <w:tab/>
      </w:r>
      <w:r>
        <w:rPr>
          <w:rFonts w:hint="eastAsia" w:cs="宋体"/>
          <w:color w:val="auto"/>
          <w:lang w:val="en-US" w:eastAsia="zh-CN"/>
        </w:rPr>
        <w:t>3</w:t>
      </w:r>
      <w:r>
        <w:rPr>
          <w:rFonts w:cs="宋体"/>
          <w:color w:val="auto"/>
        </w:rPr>
        <w:fldChar w:fldCharType="end"/>
      </w:r>
      <w:r>
        <w:rPr>
          <w:rFonts w:hint="eastAsia" w:cs="宋体"/>
          <w:color w:val="auto"/>
          <w:lang w:val="en-US" w:eastAsia="zh-CN"/>
        </w:rPr>
        <w:t>2</w:t>
      </w:r>
    </w:p>
    <w:p>
      <w:pPr>
        <w:pStyle w:val="13"/>
        <w:tabs>
          <w:tab w:val="right" w:leader="dot" w:pos="8636"/>
          <w:tab w:val="clear" w:pos="8296"/>
        </w:tabs>
        <w:spacing w:line="480" w:lineRule="auto"/>
        <w:jc w:val="both"/>
        <w:rPr>
          <w:rFonts w:hint="default" w:eastAsia="宋体" w:cs="宋体"/>
          <w:color w:val="auto"/>
          <w:lang w:val="en-US" w:eastAsia="zh-CN"/>
        </w:rPr>
      </w:pPr>
      <w:r>
        <w:rPr>
          <w:color w:val="auto"/>
        </w:rPr>
        <w:fldChar w:fldCharType="begin"/>
      </w:r>
      <w:r>
        <w:rPr>
          <w:color w:val="auto"/>
        </w:rPr>
        <w:instrText xml:space="preserve"> HYPERLINK \l "_Toc394259016" </w:instrText>
      </w:r>
      <w:r>
        <w:rPr>
          <w:color w:val="auto"/>
        </w:rPr>
        <w:fldChar w:fldCharType="separate"/>
      </w:r>
      <w:r>
        <w:rPr>
          <w:rStyle w:val="25"/>
          <w:rFonts w:hint="eastAsia" w:cs="宋体"/>
          <w:color w:val="auto"/>
        </w:rPr>
        <w:t>第六章</w:t>
      </w:r>
      <w:r>
        <w:rPr>
          <w:rStyle w:val="25"/>
          <w:rFonts w:cs="宋体"/>
          <w:color w:val="auto"/>
        </w:rPr>
        <w:t xml:space="preserve"> </w:t>
      </w:r>
      <w:r>
        <w:rPr>
          <w:rStyle w:val="25"/>
          <w:rFonts w:hint="eastAsia" w:cs="宋体"/>
          <w:color w:val="auto"/>
        </w:rPr>
        <w:t>合同</w:t>
      </w:r>
      <w:r>
        <w:rPr>
          <w:rFonts w:cs="宋体"/>
          <w:color w:val="auto"/>
        </w:rPr>
        <w:tab/>
      </w:r>
      <w:r>
        <w:rPr>
          <w:rFonts w:cs="宋体"/>
          <w:color w:val="auto"/>
        </w:rPr>
        <w:fldChar w:fldCharType="end"/>
      </w:r>
      <w:r>
        <w:rPr>
          <w:rFonts w:hint="eastAsia" w:cs="宋体"/>
          <w:color w:val="auto"/>
          <w:lang w:val="en-US" w:eastAsia="zh-CN"/>
        </w:rPr>
        <w:t>44</w:t>
      </w:r>
    </w:p>
    <w:p>
      <w:pPr>
        <w:pStyle w:val="13"/>
        <w:tabs>
          <w:tab w:val="right" w:leader="dot" w:pos="8636"/>
          <w:tab w:val="clear" w:pos="8296"/>
        </w:tabs>
        <w:spacing w:line="480" w:lineRule="auto"/>
        <w:jc w:val="both"/>
        <w:rPr>
          <w:rFonts w:hint="eastAsia" w:eastAsia="宋体" w:cs="宋体"/>
          <w:color w:val="auto"/>
          <w:lang w:eastAsia="zh-CN"/>
        </w:rPr>
      </w:pPr>
      <w:r>
        <w:rPr>
          <w:color w:val="auto"/>
        </w:rPr>
        <w:fldChar w:fldCharType="begin"/>
      </w:r>
      <w:r>
        <w:rPr>
          <w:color w:val="auto"/>
        </w:rPr>
        <w:instrText xml:space="preserve"> HYPERLINK \l "_Toc394259016" </w:instrText>
      </w:r>
      <w:r>
        <w:rPr>
          <w:color w:val="auto"/>
        </w:rPr>
        <w:fldChar w:fldCharType="separate"/>
      </w:r>
      <w:r>
        <w:rPr>
          <w:rStyle w:val="25"/>
          <w:rFonts w:hint="eastAsia" w:cs="宋体"/>
          <w:color w:val="auto"/>
        </w:rPr>
        <w:t>第七章</w:t>
      </w:r>
      <w:r>
        <w:rPr>
          <w:rStyle w:val="25"/>
          <w:rFonts w:cs="宋体"/>
          <w:color w:val="auto"/>
        </w:rPr>
        <w:t xml:space="preserve"> </w:t>
      </w:r>
      <w:r>
        <w:rPr>
          <w:rStyle w:val="25"/>
          <w:rFonts w:hint="eastAsia" w:cs="宋体"/>
          <w:color w:val="auto"/>
        </w:rPr>
        <w:t>投标文件格式</w:t>
      </w:r>
      <w:r>
        <w:rPr>
          <w:rFonts w:cs="宋体"/>
          <w:color w:val="auto"/>
        </w:rPr>
        <w:tab/>
      </w:r>
      <w:r>
        <w:rPr>
          <w:rFonts w:hint="eastAsia" w:cs="宋体"/>
          <w:color w:val="auto"/>
          <w:lang w:val="en-US" w:eastAsia="zh-CN"/>
        </w:rPr>
        <w:t>48</w:t>
      </w:r>
      <w:r>
        <w:rPr>
          <w:rFonts w:cs="宋体"/>
          <w:color w:val="auto"/>
        </w:rPr>
        <w:fldChar w:fldCharType="end"/>
      </w:r>
    </w:p>
    <w:p>
      <w:pPr>
        <w:pStyle w:val="13"/>
        <w:tabs>
          <w:tab w:val="right" w:leader="dot" w:pos="8636"/>
          <w:tab w:val="clear" w:pos="8296"/>
        </w:tabs>
        <w:spacing w:line="480" w:lineRule="auto"/>
        <w:jc w:val="both"/>
        <w:rPr>
          <w:rFonts w:hint="default" w:eastAsia="宋体" w:cs="宋体"/>
          <w:color w:val="auto"/>
          <w:lang w:val="en-US" w:eastAsia="zh-CN"/>
        </w:rPr>
      </w:pPr>
    </w:p>
    <w:p>
      <w:pPr>
        <w:tabs>
          <w:tab w:val="left" w:pos="3240"/>
          <w:tab w:val="left" w:pos="3600"/>
          <w:tab w:val="left" w:pos="4057"/>
          <w:tab w:val="right" w:pos="9070"/>
        </w:tabs>
        <w:spacing w:line="360" w:lineRule="auto"/>
        <w:jc w:val="center"/>
        <w:rPr>
          <w:rFonts w:ascii="宋体" w:cs="宋体"/>
          <w:b/>
          <w:color w:val="auto"/>
          <w:sz w:val="24"/>
        </w:rPr>
      </w:pPr>
      <w:r>
        <w:rPr>
          <w:rFonts w:cs="宋体"/>
          <w:color w:val="auto"/>
          <w:sz w:val="24"/>
        </w:rPr>
        <w:fldChar w:fldCharType="end"/>
      </w:r>
    </w:p>
    <w:p>
      <w:pPr>
        <w:tabs>
          <w:tab w:val="left" w:pos="3240"/>
          <w:tab w:val="left" w:pos="3600"/>
          <w:tab w:val="left" w:pos="4057"/>
          <w:tab w:val="right" w:pos="9070"/>
        </w:tabs>
        <w:spacing w:line="360" w:lineRule="auto"/>
        <w:jc w:val="center"/>
        <w:rPr>
          <w:rFonts w:ascii="宋体" w:cs="宋体"/>
          <w:b/>
          <w:color w:val="auto"/>
          <w:sz w:val="24"/>
        </w:rPr>
      </w:pPr>
    </w:p>
    <w:p>
      <w:pPr>
        <w:tabs>
          <w:tab w:val="left" w:pos="3240"/>
          <w:tab w:val="left" w:pos="3600"/>
          <w:tab w:val="left" w:pos="4057"/>
          <w:tab w:val="right" w:pos="9070"/>
        </w:tabs>
        <w:spacing w:line="360" w:lineRule="auto"/>
        <w:rPr>
          <w:rFonts w:ascii="宋体" w:cs="宋体"/>
          <w:b/>
          <w:color w:val="auto"/>
          <w:sz w:val="24"/>
        </w:rPr>
      </w:pPr>
    </w:p>
    <w:p>
      <w:pPr>
        <w:tabs>
          <w:tab w:val="left" w:pos="3240"/>
          <w:tab w:val="left" w:pos="3600"/>
          <w:tab w:val="left" w:pos="4057"/>
          <w:tab w:val="right" w:pos="9070"/>
        </w:tabs>
        <w:spacing w:line="360" w:lineRule="auto"/>
        <w:rPr>
          <w:rFonts w:ascii="宋体" w:cs="宋体"/>
          <w:b/>
          <w:color w:val="auto"/>
          <w:sz w:val="24"/>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tabs>
          <w:tab w:val="left" w:pos="3240"/>
          <w:tab w:val="left" w:pos="3600"/>
          <w:tab w:val="left" w:pos="4057"/>
          <w:tab w:val="right" w:pos="9070"/>
        </w:tabs>
        <w:spacing w:line="264" w:lineRule="auto"/>
        <w:jc w:val="center"/>
        <w:rPr>
          <w:rFonts w:ascii="宋体" w:cs="宋体"/>
          <w:b/>
          <w:color w:val="auto"/>
        </w:rPr>
      </w:pPr>
    </w:p>
    <w:p>
      <w:pPr>
        <w:rPr>
          <w:rFonts w:ascii="宋体" w:cs="宋体"/>
          <w:color w:val="auto"/>
          <w:sz w:val="24"/>
        </w:rPr>
      </w:pPr>
    </w:p>
    <w:p>
      <w:pPr>
        <w:pStyle w:val="7"/>
        <w:rPr>
          <w:rFonts w:ascii="宋体" w:cs="宋体"/>
          <w:color w:val="auto"/>
          <w:sz w:val="24"/>
        </w:rPr>
      </w:pPr>
    </w:p>
    <w:p>
      <w:pPr>
        <w:pStyle w:val="7"/>
        <w:rPr>
          <w:rFonts w:ascii="宋体" w:cs="宋体"/>
          <w:color w:val="auto"/>
          <w:sz w:val="24"/>
        </w:rPr>
      </w:pPr>
    </w:p>
    <w:p>
      <w:pPr>
        <w:pStyle w:val="7"/>
        <w:rPr>
          <w:rFonts w:ascii="宋体" w:cs="宋体"/>
          <w:color w:val="auto"/>
          <w:sz w:val="24"/>
        </w:rPr>
      </w:pPr>
    </w:p>
    <w:p>
      <w:pPr>
        <w:pStyle w:val="7"/>
        <w:rPr>
          <w:rFonts w:ascii="宋体" w:cs="宋体"/>
          <w:color w:val="auto"/>
          <w:sz w:val="24"/>
        </w:rPr>
      </w:pPr>
    </w:p>
    <w:p>
      <w:pPr>
        <w:pStyle w:val="2"/>
        <w:rPr>
          <w:color w:val="auto"/>
        </w:rPr>
      </w:pPr>
    </w:p>
    <w:p>
      <w:pPr>
        <w:numPr>
          <w:ilvl w:val="0"/>
          <w:numId w:val="2"/>
        </w:numPr>
        <w:spacing w:afterLines="50" w:line="400" w:lineRule="exact"/>
        <w:jc w:val="center"/>
        <w:rPr>
          <w:rFonts w:ascii="宋体" w:cs="宋体"/>
          <w:b/>
          <w:color w:val="auto"/>
          <w:sz w:val="32"/>
          <w:szCs w:val="32"/>
        </w:rPr>
      </w:pPr>
      <w:r>
        <w:rPr>
          <w:rFonts w:ascii="宋体" w:hAnsi="宋体" w:cs="宋体"/>
          <w:b/>
          <w:color w:val="auto"/>
          <w:sz w:val="32"/>
          <w:szCs w:val="32"/>
        </w:rPr>
        <w:t xml:space="preserve">  </w:t>
      </w:r>
      <w:r>
        <w:rPr>
          <w:rFonts w:hint="eastAsia" w:ascii="宋体" w:hAnsi="宋体" w:cs="宋体"/>
          <w:b/>
          <w:color w:val="auto"/>
          <w:sz w:val="32"/>
          <w:szCs w:val="32"/>
        </w:rPr>
        <w:t>投标邀请</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u w:val="single"/>
        </w:rPr>
        <w:t>莆田市信成造价咨询有限公司</w:t>
      </w:r>
      <w:r>
        <w:rPr>
          <w:rFonts w:hint="eastAsia" w:ascii="宋体" w:hAnsi="宋体" w:cs="宋体"/>
          <w:color w:val="auto"/>
          <w:sz w:val="24"/>
          <w:u w:val="single"/>
          <w:lang w:val="en-US" w:eastAsia="zh-CN"/>
        </w:rPr>
        <w:t xml:space="preserve"> </w:t>
      </w:r>
      <w:r>
        <w:rPr>
          <w:rFonts w:hint="eastAsia" w:ascii="宋体" w:hAnsi="宋体" w:cs="宋体"/>
          <w:color w:val="auto"/>
          <w:sz w:val="24"/>
        </w:rPr>
        <w:t>受</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lang w:eastAsia="zh-CN"/>
        </w:rPr>
        <w:t>莆田市振兴</w:t>
      </w:r>
      <w:r>
        <w:rPr>
          <w:rFonts w:hint="eastAsia" w:ascii="宋体" w:hAnsi="宋体" w:cs="宋体"/>
          <w:color w:val="auto"/>
          <w:sz w:val="24"/>
          <w:highlight w:val="none"/>
          <w:u w:val="single"/>
          <w:lang w:eastAsia="zh-CN"/>
        </w:rPr>
        <w:t>乡村科技服务股份有限公司</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委托，对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eastAsia="zh-CN"/>
        </w:rPr>
        <w:t>南日岛·海洋体验馆改造升级采购项目</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进行</w:t>
      </w:r>
      <w:r>
        <w:rPr>
          <w:rFonts w:hint="eastAsia" w:ascii="宋体" w:hAnsi="宋体" w:cs="宋体"/>
          <w:color w:val="auto"/>
          <w:sz w:val="24"/>
          <w:highlight w:val="none"/>
          <w:lang w:eastAsia="zh-CN"/>
        </w:rPr>
        <w:t>邀请</w:t>
      </w:r>
      <w:r>
        <w:rPr>
          <w:rFonts w:hint="eastAsia" w:ascii="宋体" w:hAnsi="宋体" w:cs="宋体"/>
          <w:color w:val="auto"/>
          <w:sz w:val="24"/>
          <w:highlight w:val="none"/>
        </w:rPr>
        <w:t>招标，</w:t>
      </w:r>
      <w:r>
        <w:rPr>
          <w:rFonts w:hint="eastAsia" w:ascii="宋体" w:hAnsi="宋体" w:cs="宋体"/>
          <w:color w:val="auto"/>
          <w:sz w:val="24"/>
          <w:highlight w:val="none"/>
          <w:lang w:eastAsia="zh-CN"/>
        </w:rPr>
        <w:t>现邀请</w:t>
      </w:r>
      <w:r>
        <w:rPr>
          <w:rFonts w:hint="eastAsia" w:ascii="宋体" w:hAnsi="宋体" w:cs="宋体"/>
          <w:b/>
          <w:bCs/>
          <w:color w:val="auto"/>
          <w:sz w:val="24"/>
          <w:highlight w:val="none"/>
          <w:lang w:eastAsia="zh-CN"/>
        </w:rPr>
        <w:t>厦门溢众文化传媒有限公司、福建朝戈科技有限公司、厦门三度电子科技有限公司</w:t>
      </w:r>
      <w:r>
        <w:rPr>
          <w:rFonts w:hint="eastAsia" w:ascii="宋体" w:hAnsi="宋体" w:cs="宋体"/>
          <w:color w:val="auto"/>
          <w:sz w:val="24"/>
          <w:highlight w:val="none"/>
          <w:lang w:val="en-US" w:eastAsia="zh-CN"/>
        </w:rPr>
        <w:t>3家投标人</w:t>
      </w:r>
      <w:r>
        <w:rPr>
          <w:rFonts w:hint="eastAsia" w:ascii="宋体" w:hAnsi="宋体" w:cs="宋体"/>
          <w:color w:val="auto"/>
          <w:sz w:val="24"/>
          <w:highlight w:val="none"/>
          <w:lang w:eastAsia="zh-CN"/>
        </w:rPr>
        <w:t>参与投标。</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1</w:t>
      </w:r>
      <w:r>
        <w:rPr>
          <w:rFonts w:ascii="宋体" w:hAnsi="宋体" w:cs="宋体"/>
          <w:kern w:val="0"/>
          <w:sz w:val="24"/>
        </w:rPr>
        <w:t>、招标编号：</w:t>
      </w:r>
      <w:r>
        <w:rPr>
          <w:rFonts w:hint="eastAsia" w:ascii="宋体" w:hAnsi="宋体" w:cs="宋体"/>
          <w:color w:val="auto"/>
          <w:sz w:val="24"/>
          <w:highlight w:val="none"/>
          <w:lang w:eastAsia="zh-CN"/>
        </w:rPr>
        <w:t>PTXC20210770</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2</w:t>
      </w:r>
      <w:r>
        <w:rPr>
          <w:rFonts w:ascii="宋体" w:hAnsi="宋体" w:cs="宋体"/>
          <w:kern w:val="0"/>
          <w:sz w:val="24"/>
        </w:rPr>
        <w:t>、预算金额、最高限价：详见《采购标的一览表》。</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lang w:val="en-US" w:eastAsia="zh-CN"/>
        </w:rPr>
        <w:t>3</w:t>
      </w:r>
      <w:r>
        <w:rPr>
          <w:rFonts w:ascii="宋体" w:hAnsi="宋体" w:cs="宋体"/>
          <w:kern w:val="0"/>
          <w:sz w:val="24"/>
        </w:rPr>
        <w:t>、招标内容及要求：详见《采购标的一览表》及招标文件第五章。</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4</w:t>
      </w:r>
      <w:r>
        <w:rPr>
          <w:rFonts w:ascii="宋体" w:hAnsi="宋体" w:cs="宋体"/>
          <w:kern w:val="0"/>
          <w:sz w:val="24"/>
        </w:rPr>
        <w:t>、需要落实的政府采购政策：进口产品，适用于（填写合同包或品目号）。节能产品，适用于（填写合同包或品目号），按照最新一期节能清单执行。环境标志产品，适用于（填写合同包或品目号），按照最新一期环境标志清单执行。信息安全产品，适用于（填写合同包或品目号）。小型、微型企业符合财政部、工信部文件（财库〔2020〕46号），适用于（填写合同包或品目号）。监狱企业，适用于（填写合同包或品目号）。促进残疾人就业 ，适用于（填写合同包或品目号）。信用记录，适用于（填写合同包或品目号），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Pr>
          <w:rFonts w:hint="eastAsia" w:ascii="宋体" w:hAnsi="宋体" w:cs="宋体"/>
          <w:kern w:val="0"/>
          <w:sz w:val="24"/>
        </w:rPr>
        <w:t>①</w:t>
      </w:r>
      <w:r>
        <w:rPr>
          <w:rFonts w:ascii="宋体" w:hAnsi="宋体" w:cs="宋体"/>
          <w:kern w:val="0"/>
          <w:sz w:val="24"/>
        </w:rPr>
        <w:t>由资格审查小组通过上述网站查询投标人信用记录（以下简称：“资格审查小组的查询结果”）。</w:t>
      </w:r>
      <w:r>
        <w:rPr>
          <w:rFonts w:hint="eastAsia" w:ascii="宋体" w:hAnsi="宋体" w:cs="宋体"/>
          <w:kern w:val="0"/>
          <w:sz w:val="24"/>
        </w:rPr>
        <w:t>②</w:t>
      </w:r>
      <w:r>
        <w:rPr>
          <w:rFonts w:ascii="宋体" w:hAnsi="宋体" w:cs="宋体"/>
          <w:kern w:val="0"/>
          <w:sz w:val="24"/>
        </w:rPr>
        <w:t>投标人提供的查询结果与资格审查小组的查询结果不一致的，以资格审查小组的查询结果为准。</w:t>
      </w:r>
      <w:r>
        <w:rPr>
          <w:rFonts w:hint="eastAsia" w:ascii="宋体" w:hAnsi="宋体" w:cs="宋体"/>
          <w:kern w:val="0"/>
          <w:sz w:val="24"/>
        </w:rPr>
        <w:t>③</w:t>
      </w:r>
      <w:r>
        <w:rPr>
          <w:rFonts w:ascii="宋体" w:hAnsi="宋体" w:cs="宋体"/>
          <w:kern w:val="0"/>
          <w:sz w:val="24"/>
        </w:rPr>
        <w:t>因上述网站原因导致资格审查小组无法查询投标人信用记录的（资格审查小组应将通过上述网站查询投标人信用记录时的原始页面打印后随采购文件一并存档），以投标人提供的查询结果为准。</w:t>
      </w:r>
      <w:r>
        <w:rPr>
          <w:rFonts w:hint="eastAsia" w:ascii="宋体" w:hAnsi="宋体" w:cs="宋体"/>
          <w:kern w:val="0"/>
          <w:sz w:val="24"/>
        </w:rPr>
        <w:t>④</w:t>
      </w:r>
      <w:r>
        <w:rPr>
          <w:rFonts w:ascii="宋体" w:hAnsi="宋体" w:cs="宋体"/>
          <w:kern w:val="0"/>
          <w:sz w:val="24"/>
        </w:rPr>
        <w:t>查询结果存在投标人应被拒绝参与政府采购活动相关信息的，其资格审查不合格。</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5</w:t>
      </w:r>
      <w:r>
        <w:rPr>
          <w:rFonts w:ascii="宋体" w:hAnsi="宋体" w:cs="宋体"/>
          <w:kern w:val="0"/>
          <w:sz w:val="24"/>
        </w:rPr>
        <w:t>、投标人的资格要求</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5</w:t>
      </w:r>
      <w:r>
        <w:rPr>
          <w:rFonts w:ascii="宋体" w:hAnsi="宋体" w:cs="宋体"/>
          <w:kern w:val="0"/>
          <w:sz w:val="24"/>
        </w:rPr>
        <w:t>.1法定条件：符合政府采购法第二十二条第一款规定的条件。</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5</w:t>
      </w:r>
      <w:r>
        <w:rPr>
          <w:rFonts w:ascii="宋体" w:hAnsi="宋体" w:cs="宋体"/>
          <w:kern w:val="0"/>
          <w:sz w:val="24"/>
        </w:rPr>
        <w:t>.2特定条件：</w:t>
      </w:r>
      <w:r>
        <w:rPr>
          <w:rFonts w:ascii="宋体" w:hAnsi="宋体" w:cs="宋体"/>
          <w:kern w:val="0"/>
          <w:sz w:val="24"/>
        </w:rPr>
        <w:br w:type="textWrapping"/>
      </w:r>
      <w:r>
        <w:rPr>
          <w:rFonts w:ascii="宋体" w:hAnsi="宋体" w:cs="宋体"/>
          <w:b/>
          <w:bCs/>
          <w:kern w:val="0"/>
          <w:sz w:val="24"/>
        </w:rPr>
        <w:t>包：1</w:t>
      </w:r>
      <w:r>
        <w:rPr>
          <w:rFonts w:ascii="宋体" w:hAnsi="宋体" w:cs="宋体"/>
          <w:kern w:val="0"/>
          <w:sz w:val="24"/>
        </w:rPr>
        <w:t xml:space="preserve"> </w:t>
      </w:r>
    </w:p>
    <w:tbl>
      <w:tblPr>
        <w:tblStyle w:val="16"/>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80"/>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174" w:type="pct"/>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b/>
                <w:bCs/>
                <w:kern w:val="0"/>
                <w:sz w:val="24"/>
              </w:rPr>
            </w:pPr>
            <w:r>
              <w:rPr>
                <w:rFonts w:ascii="宋体" w:hAnsi="宋体" w:cs="宋体"/>
                <w:b/>
                <w:bCs/>
                <w:kern w:val="0"/>
                <w:sz w:val="24"/>
              </w:rPr>
              <w:t>明细</w:t>
            </w:r>
          </w:p>
        </w:tc>
        <w:tc>
          <w:tcPr>
            <w:tcW w:w="3825" w:type="pct"/>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b/>
                <w:bCs/>
                <w:kern w:val="0"/>
                <w:sz w:val="24"/>
              </w:rPr>
            </w:pPr>
            <w:r>
              <w:rPr>
                <w:rFonts w:ascii="宋体" w:hAnsi="宋体" w:cs="宋体"/>
                <w:b/>
                <w:bCs/>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4" w:type="pct"/>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招标文件规定的其他资格证明文件（若有）</w:t>
            </w:r>
          </w:p>
        </w:tc>
        <w:tc>
          <w:tcPr>
            <w:tcW w:w="3825" w:type="pct"/>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4" w:type="pct"/>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具备履行合同所必需设备和专业技术能力专项证明材料（若有）</w:t>
            </w:r>
          </w:p>
        </w:tc>
        <w:tc>
          <w:tcPr>
            <w:tcW w:w="3825" w:type="pct"/>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5</w:t>
      </w:r>
      <w:r>
        <w:rPr>
          <w:rFonts w:ascii="宋体" w:hAnsi="宋体" w:cs="宋体"/>
          <w:kern w:val="0"/>
          <w:sz w:val="24"/>
        </w:rPr>
        <w:t>.3是否接受联合体投标：不接受。</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b/>
          <w:bCs/>
          <w:kern w:val="0"/>
          <w:sz w:val="24"/>
        </w:rPr>
        <w:t>※</w:t>
      </w:r>
      <w:r>
        <w:rPr>
          <w:rFonts w:ascii="宋体" w:hAnsi="宋体" w:cs="宋体"/>
          <w:b/>
          <w:bCs/>
          <w:kern w:val="0"/>
          <w:sz w:val="24"/>
        </w:rPr>
        <w:t>根据上述资格要求，投标文件中应提交的“投标人的资格及资信证明文件”详见招标文件第四章。</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6</w:t>
      </w:r>
      <w:r>
        <w:rPr>
          <w:rFonts w:ascii="宋体" w:hAnsi="宋体" w:cs="宋体"/>
          <w:kern w:val="0"/>
          <w:sz w:val="24"/>
        </w:rPr>
        <w:t>、报名</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6</w:t>
      </w:r>
      <w:r>
        <w:rPr>
          <w:rFonts w:ascii="宋体" w:hAnsi="宋体" w:cs="宋体"/>
          <w:kern w:val="0"/>
          <w:sz w:val="24"/>
        </w:rPr>
        <w:t>.1报名期限：详见招标公告或更正公告（若有），若不一致，以更正公告（若有）为准。</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7</w:t>
      </w:r>
      <w:r>
        <w:rPr>
          <w:rFonts w:ascii="宋体" w:hAnsi="宋体" w:cs="宋体"/>
          <w:kern w:val="0"/>
          <w:sz w:val="24"/>
        </w:rPr>
        <w:t>、招标文件的获取</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7</w:t>
      </w:r>
      <w:r>
        <w:rPr>
          <w:rFonts w:ascii="宋体" w:hAnsi="宋体" w:cs="宋体"/>
          <w:kern w:val="0"/>
          <w:sz w:val="24"/>
        </w:rPr>
        <w:t>.1招标文件提供期限：详见招标公告或更正公告（若有），若不一致，以更正公告（若有）为准。</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hint="eastAsia" w:ascii="宋体" w:hAnsi="宋体" w:eastAsia="宋体" w:cs="宋体"/>
          <w:color w:val="000000" w:themeColor="text1"/>
          <w:kern w:val="1"/>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7</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获取地点及方式：</w:t>
      </w:r>
      <w:r>
        <w:rPr>
          <w:rFonts w:hint="eastAsia" w:ascii="宋体" w:hAnsi="宋体" w:cs="宋体"/>
          <w:color w:val="000000" w:themeColor="text1"/>
          <w:kern w:val="1"/>
          <w:sz w:val="24"/>
          <w14:textFill>
            <w14:solidFill>
              <w14:schemeClr w14:val="tx1"/>
            </w14:solidFill>
          </w14:textFill>
        </w:rPr>
        <w:t>莆田市城厢区龙桥街道荔城中大道</w:t>
      </w:r>
      <w:r>
        <w:rPr>
          <w:rFonts w:ascii="宋体" w:hAnsi="宋体" w:cs="宋体"/>
          <w:color w:val="000000" w:themeColor="text1"/>
          <w:kern w:val="1"/>
          <w:sz w:val="24"/>
          <w14:textFill>
            <w14:solidFill>
              <w14:schemeClr w14:val="tx1"/>
            </w14:solidFill>
          </w14:textFill>
        </w:rPr>
        <w:t>2580</w:t>
      </w:r>
      <w:r>
        <w:rPr>
          <w:rFonts w:hint="eastAsia" w:ascii="宋体" w:hAnsi="宋体" w:cs="宋体"/>
          <w:color w:val="000000" w:themeColor="text1"/>
          <w:kern w:val="1"/>
          <w:sz w:val="24"/>
          <w14:textFill>
            <w14:solidFill>
              <w14:schemeClr w14:val="tx1"/>
            </w14:solidFill>
          </w14:textFill>
        </w:rPr>
        <w:t>号四楼</w:t>
      </w:r>
      <w:r>
        <w:rPr>
          <w:rFonts w:hint="eastAsia" w:ascii="宋体" w:hAnsi="宋体" w:cs="宋体"/>
          <w:color w:val="000000" w:themeColor="text1"/>
          <w:kern w:val="1"/>
          <w:sz w:val="24"/>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7</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招标文件售价：</w:t>
      </w:r>
      <w:r>
        <w:rPr>
          <w:rFonts w:ascii="宋体" w:hAnsi="宋体" w:cs="宋体"/>
          <w:sz w:val="24"/>
        </w:rPr>
        <w:t>100</w:t>
      </w:r>
      <w:r>
        <w:rPr>
          <w:rFonts w:hint="eastAsia" w:ascii="宋体" w:hAnsi="宋体" w:cs="宋体"/>
          <w:sz w:val="24"/>
        </w:rPr>
        <w:t>元</w:t>
      </w:r>
      <w:r>
        <w:rPr>
          <w:rFonts w:ascii="宋体" w:hAnsi="宋体"/>
          <w:sz w:val="24"/>
        </w:rPr>
        <w:t>(</w:t>
      </w:r>
      <w:r>
        <w:rPr>
          <w:rFonts w:hint="eastAsia" w:ascii="宋体" w:hAnsi="宋体"/>
          <w:sz w:val="24"/>
        </w:rPr>
        <w:t>含电子文档</w:t>
      </w:r>
      <w:r>
        <w:rPr>
          <w:rFonts w:ascii="宋体" w:hAnsi="宋体"/>
          <w:sz w:val="24"/>
        </w:rPr>
        <w:t>)</w:t>
      </w:r>
      <w:r>
        <w:rPr>
          <w:rFonts w:ascii="宋体" w:hAnsi="宋体" w:cs="宋体"/>
          <w:color w:val="000000" w:themeColor="text1"/>
          <w:kern w:val="0"/>
          <w:sz w:val="24"/>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8</w:t>
      </w:r>
      <w:r>
        <w:rPr>
          <w:rFonts w:ascii="宋体" w:hAnsi="宋体" w:cs="宋体"/>
          <w:kern w:val="0"/>
          <w:sz w:val="24"/>
        </w:rPr>
        <w:t>、投标截止</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8</w:t>
      </w:r>
      <w:r>
        <w:rPr>
          <w:rFonts w:ascii="宋体" w:hAnsi="宋体" w:cs="宋体"/>
          <w:kern w:val="0"/>
          <w:sz w:val="24"/>
        </w:rPr>
        <w:t>.1投标截止时间：详见招标公告或更正公告（若有），若不一致，以更正公告（若有）为准。</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9</w:t>
      </w:r>
      <w:r>
        <w:rPr>
          <w:rFonts w:ascii="宋体" w:hAnsi="宋体" w:cs="宋体"/>
          <w:kern w:val="0"/>
          <w:sz w:val="24"/>
        </w:rPr>
        <w:t>、开标时间及地点：详见招标公告或更正公告（若有），若不一致，以更正公告（若有）为准。</w:t>
      </w:r>
      <w:r>
        <w:rPr>
          <w:rFonts w:ascii="宋体" w:hAnsi="宋体" w:cs="宋体"/>
          <w:b/>
          <w:bCs/>
          <w:kern w:val="0"/>
          <w:sz w:val="24"/>
        </w:rPr>
        <w:t> </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ascii="宋体" w:hAnsi="宋体" w:cs="宋体"/>
          <w:kern w:val="0"/>
          <w:sz w:val="24"/>
        </w:rPr>
        <w:t>1</w:t>
      </w:r>
      <w:r>
        <w:rPr>
          <w:rFonts w:hint="eastAsia" w:ascii="宋体" w:hAnsi="宋体" w:cs="宋体"/>
          <w:kern w:val="0"/>
          <w:sz w:val="24"/>
          <w:lang w:val="en-US" w:eastAsia="zh-CN"/>
        </w:rPr>
        <w:t>0</w:t>
      </w:r>
      <w:r>
        <w:rPr>
          <w:rFonts w:ascii="宋体" w:hAnsi="宋体" w:cs="宋体"/>
          <w:kern w:val="0"/>
          <w:sz w:val="24"/>
        </w:rPr>
        <w:t>、公告期限</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color w:val="0000FF"/>
          <w:kern w:val="0"/>
          <w:sz w:val="24"/>
        </w:rPr>
      </w:pPr>
      <w:r>
        <w:rPr>
          <w:rFonts w:ascii="宋体" w:hAnsi="宋体" w:cs="宋体"/>
          <w:kern w:val="0"/>
          <w:sz w:val="24"/>
        </w:rPr>
        <w:t>1</w:t>
      </w:r>
      <w:r>
        <w:rPr>
          <w:rFonts w:hint="eastAsia" w:ascii="宋体" w:hAnsi="宋体" w:cs="宋体"/>
          <w:kern w:val="0"/>
          <w:sz w:val="24"/>
          <w:lang w:val="en-US" w:eastAsia="zh-CN"/>
        </w:rPr>
        <w:t>0</w:t>
      </w:r>
      <w:r>
        <w:rPr>
          <w:rFonts w:ascii="宋体" w:hAnsi="宋体" w:cs="宋体"/>
          <w:kern w:val="0"/>
          <w:sz w:val="24"/>
        </w:rPr>
        <w:t>.</w:t>
      </w:r>
      <w:r>
        <w:rPr>
          <w:rFonts w:ascii="宋体" w:hAnsi="宋体" w:cs="宋体"/>
          <w:color w:val="000000" w:themeColor="text1"/>
          <w:kern w:val="0"/>
          <w:sz w:val="24"/>
          <w14:textFill>
            <w14:solidFill>
              <w14:schemeClr w14:val="tx1"/>
            </w14:solidFill>
          </w14:textFill>
        </w:rPr>
        <w:t>1招标公告的公告期限：自</w:t>
      </w:r>
      <w:r>
        <w:rPr>
          <w:rFonts w:hint="eastAsia" w:ascii="宋体" w:hAnsi="宋体" w:cs="宋体"/>
          <w:color w:val="000000" w:themeColor="text1"/>
          <w:kern w:val="0"/>
          <w:sz w:val="24"/>
          <w:lang w:eastAsia="zh-CN"/>
          <w14:textFill>
            <w14:solidFill>
              <w14:schemeClr w14:val="tx1"/>
            </w14:solidFill>
          </w14:textFill>
        </w:rPr>
        <w:t>招标文件规定的</w:t>
      </w:r>
      <w:r>
        <w:rPr>
          <w:rFonts w:ascii="宋体" w:hAnsi="宋体" w:cs="宋体"/>
          <w:color w:val="000000" w:themeColor="text1"/>
          <w:kern w:val="0"/>
          <w:sz w:val="24"/>
          <w14:textFill>
            <w14:solidFill>
              <w14:schemeClr w14:val="tx1"/>
            </w14:solidFill>
          </w14:textFill>
        </w:rPr>
        <w:t>采购信息发布媒体最先发布公告之日起</w:t>
      </w:r>
      <w:r>
        <w:rPr>
          <w:color w:val="000000" w:themeColor="text1"/>
          <w:kern w:val="0"/>
          <w:sz w:val="24"/>
          <w14:textFill>
            <w14:solidFill>
              <w14:schemeClr w14:val="tx1"/>
            </w14:solidFill>
          </w14:textFill>
        </w:rPr>
        <w:t>5</w:t>
      </w:r>
      <w:r>
        <w:rPr>
          <w:rFonts w:ascii="宋体" w:hAnsi="宋体" w:cs="宋体"/>
          <w:color w:val="000000" w:themeColor="text1"/>
          <w:kern w:val="0"/>
          <w:sz w:val="24"/>
          <w14:textFill>
            <w14:solidFill>
              <w14:schemeClr w14:val="tx1"/>
            </w14:solidFill>
          </w14:textFill>
        </w:rPr>
        <w:t>个工作日。</w:t>
      </w:r>
    </w:p>
    <w:p>
      <w:pPr>
        <w:keepNext w:val="0"/>
        <w:keepLines w:val="0"/>
        <w:pageBreakBefore w:val="0"/>
        <w:widowControl/>
        <w:kinsoku/>
        <w:overflowPunct/>
        <w:topLinePunct w:val="0"/>
        <w:autoSpaceDE/>
        <w:autoSpaceDN/>
        <w:bidi w:val="0"/>
        <w:adjustRightInd/>
        <w:snapToGrid/>
        <w:spacing w:beforeAutospacing="0" w:afterAutospacing="0" w:line="440" w:lineRule="exact"/>
        <w:ind w:firstLine="480"/>
        <w:jc w:val="left"/>
        <w:textAlignment w:val="auto"/>
        <w:rPr>
          <w:rFonts w:ascii="宋体" w:hAnsi="宋体" w:cs="宋体"/>
          <w:kern w:val="0"/>
          <w:sz w:val="24"/>
        </w:rPr>
      </w:pPr>
      <w:r>
        <w:rPr>
          <w:rFonts w:ascii="宋体" w:hAnsi="宋体" w:cs="宋体"/>
          <w:kern w:val="0"/>
          <w:sz w:val="24"/>
        </w:rPr>
        <w:t>1</w:t>
      </w:r>
      <w:r>
        <w:rPr>
          <w:rFonts w:hint="eastAsia" w:ascii="宋体" w:hAnsi="宋体" w:cs="宋体"/>
          <w:kern w:val="0"/>
          <w:sz w:val="24"/>
          <w:lang w:val="en-US" w:eastAsia="zh-CN"/>
        </w:rPr>
        <w:t>0</w:t>
      </w:r>
      <w:r>
        <w:rPr>
          <w:rFonts w:ascii="宋体" w:hAnsi="宋体" w:cs="宋体"/>
          <w:kern w:val="0"/>
          <w:sz w:val="24"/>
        </w:rPr>
        <w:t>.2招标文件公告期限：招标文件随同招标公告一并发布，其公告期限与本章第</w:t>
      </w:r>
      <w:r>
        <w:rPr>
          <w:kern w:val="0"/>
          <w:sz w:val="24"/>
        </w:rPr>
        <w:t>11.1</w:t>
      </w:r>
      <w:r>
        <w:rPr>
          <w:rFonts w:ascii="宋体" w:hAnsi="宋体" w:cs="宋体"/>
          <w:kern w:val="0"/>
          <w:sz w:val="24"/>
        </w:rPr>
        <w:t>条载明的期限保持一致。</w:t>
      </w:r>
    </w:p>
    <w:p>
      <w:pPr>
        <w:pStyle w:val="27"/>
        <w:rPr>
          <w:color w:val="auto"/>
        </w:rPr>
      </w:pPr>
    </w:p>
    <w:p>
      <w:pPr>
        <w:keepNext w:val="0"/>
        <w:keepLines w:val="0"/>
        <w:pageBreakBefore w:val="0"/>
        <w:widowControl/>
        <w:tabs>
          <w:tab w:val="left" w:pos="1134"/>
        </w:tabs>
        <w:kinsoku/>
        <w:wordWrap/>
        <w:overflowPunct/>
        <w:topLinePunct w:val="0"/>
        <w:autoSpaceDE/>
        <w:autoSpaceDN/>
        <w:bidi w:val="0"/>
        <w:adjustRightInd/>
        <w:snapToGrid/>
        <w:spacing w:line="440" w:lineRule="exact"/>
        <w:textAlignment w:val="auto"/>
        <w:rPr>
          <w:rFonts w:hint="eastAsia" w:ascii="宋体" w:hAnsi="宋体" w:eastAsia="宋体"/>
          <w:color w:val="auto"/>
          <w:sz w:val="24"/>
          <w:lang w:eastAsia="zh-CN"/>
        </w:rPr>
      </w:pPr>
      <w:r>
        <w:rPr>
          <w:rFonts w:hint="eastAsia" w:ascii="宋体" w:hAnsi="宋体"/>
          <w:color w:val="auto"/>
          <w:sz w:val="24"/>
          <w:lang w:eastAsia="zh-CN"/>
        </w:rPr>
        <w:t>采购人</w:t>
      </w:r>
      <w:r>
        <w:rPr>
          <w:rFonts w:hint="eastAsia" w:ascii="宋体" w:hAnsi="宋体"/>
          <w:color w:val="auto"/>
          <w:sz w:val="24"/>
        </w:rPr>
        <w:t>：</w:t>
      </w:r>
      <w:r>
        <w:rPr>
          <w:rFonts w:hint="eastAsia" w:ascii="宋体" w:hAnsi="宋体"/>
          <w:color w:val="auto"/>
          <w:sz w:val="24"/>
          <w:lang w:eastAsia="zh-CN"/>
        </w:rPr>
        <w:t>莆田市振兴乡村科技服务股份有限公司</w:t>
      </w:r>
    </w:p>
    <w:p>
      <w:pPr>
        <w:keepNext w:val="0"/>
        <w:keepLines w:val="0"/>
        <w:pageBreakBefore w:val="0"/>
        <w:widowControl/>
        <w:tabs>
          <w:tab w:val="left" w:pos="1134"/>
        </w:tabs>
        <w:kinsoku/>
        <w:wordWrap/>
        <w:overflowPunct/>
        <w:topLinePunct w:val="0"/>
        <w:autoSpaceDE/>
        <w:autoSpaceDN/>
        <w:bidi w:val="0"/>
        <w:adjustRightInd/>
        <w:snapToGrid/>
        <w:spacing w:line="440" w:lineRule="exact"/>
        <w:textAlignment w:val="auto"/>
        <w:rPr>
          <w:rFonts w:hint="eastAsia"/>
          <w:color w:val="auto"/>
          <w:sz w:val="24"/>
        </w:rPr>
      </w:pPr>
      <w:r>
        <w:rPr>
          <w:rFonts w:hint="eastAsia" w:ascii="宋体" w:hAnsi="宋体"/>
          <w:color w:val="auto"/>
          <w:sz w:val="24"/>
        </w:rPr>
        <w:t>地  址：</w:t>
      </w:r>
      <w:r>
        <w:rPr>
          <w:rFonts w:hint="eastAsia"/>
          <w:color w:val="auto"/>
          <w:sz w:val="24"/>
        </w:rPr>
        <w:t>莆田市荔城区拱辰街道延寿街</w:t>
      </w:r>
    </w:p>
    <w:p>
      <w:pPr>
        <w:keepNext w:val="0"/>
        <w:keepLines w:val="0"/>
        <w:pageBreakBefore w:val="0"/>
        <w:widowControl/>
        <w:tabs>
          <w:tab w:val="left" w:pos="1134"/>
        </w:tabs>
        <w:kinsoku/>
        <w:wordWrap/>
        <w:overflowPunct/>
        <w:topLinePunct w:val="0"/>
        <w:autoSpaceDE/>
        <w:autoSpaceDN/>
        <w:bidi w:val="0"/>
        <w:adjustRightInd/>
        <w:snapToGrid/>
        <w:spacing w:line="440" w:lineRule="exact"/>
        <w:textAlignment w:val="auto"/>
        <w:rPr>
          <w:rFonts w:hint="eastAsia" w:ascii="宋体" w:hAnsi="宋体" w:eastAsia="宋体"/>
          <w:color w:val="auto"/>
          <w:sz w:val="24"/>
          <w:lang w:eastAsia="zh-CN"/>
        </w:rPr>
      </w:pPr>
      <w:r>
        <w:rPr>
          <w:rFonts w:hint="eastAsia" w:ascii="宋体" w:hAnsi="宋体"/>
          <w:color w:val="auto"/>
          <w:sz w:val="24"/>
        </w:rPr>
        <w:t>联系人：</w:t>
      </w:r>
      <w:r>
        <w:rPr>
          <w:rFonts w:hint="eastAsia" w:ascii="宋体" w:hAnsi="宋体"/>
          <w:color w:val="auto"/>
          <w:sz w:val="24"/>
          <w:lang w:eastAsia="zh-CN"/>
        </w:rPr>
        <w:t>林先生</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cs="宋体"/>
          <w:color w:val="auto"/>
          <w:sz w:val="24"/>
          <w:lang w:val="en-US" w:eastAsia="zh-CN"/>
        </w:rPr>
      </w:pPr>
      <w:r>
        <w:rPr>
          <w:rFonts w:hint="eastAsia" w:ascii="宋体" w:hAnsi="宋体" w:cs="宋体"/>
          <w:color w:val="auto"/>
          <w:sz w:val="24"/>
          <w:lang w:eastAsia="zh-CN"/>
        </w:rPr>
        <w:t>联系电话：</w:t>
      </w:r>
      <w:r>
        <w:rPr>
          <w:rFonts w:hint="eastAsia" w:ascii="宋体" w:hAnsi="宋体"/>
          <w:color w:val="000000"/>
          <w:sz w:val="24"/>
          <w:lang w:val="en-US" w:eastAsia="zh-CN"/>
        </w:rPr>
        <w:t>18159395138</w:t>
      </w:r>
    </w:p>
    <w:p>
      <w:pPr>
        <w:pStyle w:val="2"/>
        <w:keepNext w:val="0"/>
        <w:keepLines w:val="0"/>
        <w:pageBreakBefore w:val="0"/>
        <w:kinsoku/>
        <w:wordWrap/>
        <w:overflowPunct/>
        <w:topLinePunct w:val="0"/>
        <w:autoSpaceDE/>
        <w:autoSpaceDN/>
        <w:bidi w:val="0"/>
        <w:adjustRightInd/>
        <w:snapToGrid/>
        <w:spacing w:after="0" w:line="440" w:lineRule="exact"/>
        <w:ind w:left="31680" w:firstLine="31680"/>
        <w:textAlignment w:val="auto"/>
        <w:rPr>
          <w:color w:val="auto"/>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cs="宋体"/>
          <w:color w:val="auto"/>
          <w:sz w:val="24"/>
        </w:rPr>
      </w:pPr>
      <w:r>
        <w:rPr>
          <w:rFonts w:hint="eastAsia" w:ascii="宋体" w:hAnsi="宋体" w:cs="宋体"/>
          <w:color w:val="auto"/>
          <w:sz w:val="24"/>
        </w:rPr>
        <w:t>招标代理机构：莆田市信成造价咨询有限公司</w:t>
      </w:r>
    </w:p>
    <w:p>
      <w:pPr>
        <w:keepNext w:val="0"/>
        <w:keepLines w:val="0"/>
        <w:pageBreakBefore w:val="0"/>
        <w:kinsoku/>
        <w:wordWrap/>
        <w:overflowPunct/>
        <w:topLinePunct w:val="0"/>
        <w:autoSpaceDE/>
        <w:autoSpaceDN/>
        <w:bidi w:val="0"/>
        <w:adjustRightInd/>
        <w:snapToGrid/>
        <w:spacing w:line="440" w:lineRule="exact"/>
        <w:textAlignment w:val="auto"/>
        <w:rPr>
          <w:rFonts w:ascii="宋体" w:cs="宋体"/>
          <w:color w:val="auto"/>
          <w:sz w:val="24"/>
        </w:rPr>
      </w:pPr>
      <w:r>
        <w:rPr>
          <w:rFonts w:hint="eastAsia" w:ascii="宋体" w:hAnsi="宋体" w:cs="宋体"/>
          <w:color w:val="auto"/>
          <w:sz w:val="24"/>
        </w:rPr>
        <w:t>地</w:t>
      </w:r>
      <w:r>
        <w:rPr>
          <w:rFonts w:ascii="宋体" w:hAnsi="宋体" w:cs="宋体"/>
          <w:color w:val="auto"/>
          <w:sz w:val="24"/>
        </w:rPr>
        <w:t xml:space="preserve">  </w:t>
      </w:r>
      <w:r>
        <w:rPr>
          <w:rFonts w:hint="eastAsia" w:ascii="宋体" w:hAnsi="宋体" w:cs="宋体"/>
          <w:color w:val="auto"/>
          <w:sz w:val="24"/>
        </w:rPr>
        <w:t>址：</w:t>
      </w:r>
      <w:r>
        <w:rPr>
          <w:rFonts w:hint="eastAsia" w:ascii="宋体" w:hAnsi="宋体" w:cs="宋体"/>
          <w:color w:val="auto"/>
          <w:kern w:val="1"/>
          <w:sz w:val="24"/>
        </w:rPr>
        <w:t>莆田市城厢区龙桥街道荔城中大道</w:t>
      </w:r>
      <w:r>
        <w:rPr>
          <w:rFonts w:ascii="宋体" w:hAnsi="宋体" w:cs="宋体"/>
          <w:color w:val="auto"/>
          <w:kern w:val="1"/>
          <w:sz w:val="24"/>
        </w:rPr>
        <w:t>2580</w:t>
      </w:r>
      <w:r>
        <w:rPr>
          <w:rFonts w:hint="eastAsia" w:ascii="宋体" w:hAnsi="宋体" w:cs="宋体"/>
          <w:color w:val="auto"/>
          <w:kern w:val="1"/>
          <w:sz w:val="24"/>
        </w:rPr>
        <w:t>号四楼</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color w:val="auto"/>
          <w:sz w:val="24"/>
        </w:rPr>
      </w:pPr>
      <w:r>
        <w:rPr>
          <w:rFonts w:hint="eastAsia" w:ascii="宋体" w:hAnsi="宋体" w:cs="宋体"/>
          <w:color w:val="auto"/>
          <w:sz w:val="24"/>
        </w:rPr>
        <w:t>邮</w:t>
      </w:r>
      <w:r>
        <w:rPr>
          <w:rFonts w:ascii="宋体" w:hAnsi="宋体" w:cs="宋体"/>
          <w:color w:val="auto"/>
          <w:sz w:val="24"/>
        </w:rPr>
        <w:t xml:space="preserve">  </w:t>
      </w:r>
      <w:r>
        <w:rPr>
          <w:rFonts w:hint="eastAsia" w:ascii="宋体" w:hAnsi="宋体" w:cs="宋体"/>
          <w:color w:val="auto"/>
          <w:sz w:val="24"/>
        </w:rPr>
        <w:t>箱：</w:t>
      </w:r>
      <w:r>
        <w:rPr>
          <w:rFonts w:ascii="宋体" w:hAnsi="宋体" w:cs="宋体"/>
          <w:color w:val="auto"/>
          <w:sz w:val="24"/>
        </w:rPr>
        <w:t>ptxc2009@163.com</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color w:val="auto"/>
          <w:sz w:val="24"/>
        </w:rPr>
      </w:pPr>
      <w:r>
        <w:rPr>
          <w:rFonts w:hint="eastAsia" w:ascii="宋体" w:hAnsi="宋体" w:cs="宋体"/>
          <w:color w:val="auto"/>
          <w:sz w:val="24"/>
        </w:rPr>
        <w:t>电</w:t>
      </w:r>
      <w:r>
        <w:rPr>
          <w:rFonts w:ascii="宋体" w:hAnsi="宋体" w:cs="宋体"/>
          <w:color w:val="auto"/>
          <w:sz w:val="24"/>
        </w:rPr>
        <w:t xml:space="preserve">  </w:t>
      </w:r>
      <w:r>
        <w:rPr>
          <w:rFonts w:hint="eastAsia" w:ascii="宋体" w:hAnsi="宋体" w:cs="宋体"/>
          <w:color w:val="auto"/>
          <w:sz w:val="24"/>
        </w:rPr>
        <w:t>话：</w:t>
      </w:r>
      <w:r>
        <w:rPr>
          <w:rFonts w:ascii="宋体" w:hAnsi="宋体" w:cs="宋体"/>
          <w:color w:val="auto"/>
          <w:sz w:val="24"/>
        </w:rPr>
        <w:t xml:space="preserve">0594-2855533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eastAsia="宋体" w:cs="宋体"/>
          <w:color w:val="auto"/>
          <w:sz w:val="24"/>
          <w:lang w:eastAsia="zh-CN"/>
        </w:rPr>
      </w:pPr>
      <w:r>
        <w:rPr>
          <w:rFonts w:hint="eastAsia" w:ascii="宋体" w:hAnsi="宋体" w:cs="宋体"/>
          <w:color w:val="auto"/>
          <w:sz w:val="24"/>
        </w:rPr>
        <w:t>联系人：小</w:t>
      </w:r>
      <w:r>
        <w:rPr>
          <w:rFonts w:hint="eastAsia" w:ascii="宋体" w:hAnsi="宋体" w:cs="宋体"/>
          <w:color w:val="auto"/>
          <w:sz w:val="24"/>
          <w:lang w:eastAsia="zh-CN"/>
        </w:rPr>
        <w:t>吴</w:t>
      </w:r>
    </w:p>
    <w:p>
      <w:pPr>
        <w:pStyle w:val="2"/>
        <w:ind w:left="31680" w:firstLine="31680"/>
        <w:rPr>
          <w:color w:val="auto"/>
        </w:rPr>
      </w:pPr>
    </w:p>
    <w:p>
      <w:pPr>
        <w:spacing w:line="360" w:lineRule="exact"/>
        <w:textAlignment w:val="baseline"/>
        <w:rPr>
          <w:rFonts w:hint="eastAsia" w:ascii="宋体" w:hAnsi="宋体" w:cs="宋体"/>
          <w:b/>
          <w:color w:val="auto"/>
          <w:sz w:val="24"/>
        </w:rPr>
      </w:pPr>
    </w:p>
    <w:p>
      <w:pPr>
        <w:spacing w:line="360" w:lineRule="exact"/>
        <w:textAlignment w:val="baseline"/>
        <w:rPr>
          <w:rFonts w:ascii="宋体" w:cs="宋体"/>
          <w:b/>
          <w:color w:val="auto"/>
          <w:sz w:val="24"/>
        </w:rPr>
      </w:pPr>
      <w:r>
        <w:rPr>
          <w:rFonts w:hint="eastAsia" w:ascii="宋体" w:hAnsi="宋体" w:cs="宋体"/>
          <w:b/>
          <w:color w:val="auto"/>
          <w:sz w:val="24"/>
        </w:rPr>
        <w:t>附：采购标的一览表</w:t>
      </w:r>
    </w:p>
    <w:p>
      <w:pPr>
        <w:spacing w:beforeLines="50" w:afterLines="50"/>
        <w:ind w:firstLine="3450" w:firstLineChars="1432"/>
        <w:rPr>
          <w:rFonts w:ascii="宋体" w:cs="宋体"/>
          <w:b/>
          <w:color w:val="auto"/>
          <w:sz w:val="24"/>
        </w:rPr>
      </w:pPr>
      <w:r>
        <w:rPr>
          <w:rFonts w:hint="eastAsia" w:ascii="宋体" w:hAnsi="宋体" w:cs="宋体"/>
          <w:b/>
          <w:color w:val="auto"/>
          <w:sz w:val="24"/>
        </w:rPr>
        <w:t>采购标的一览表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9"/>
        <w:gridCol w:w="3653"/>
        <w:gridCol w:w="1125"/>
        <w:gridCol w:w="170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3" w:hRule="atLeast"/>
        </w:trPr>
        <w:tc>
          <w:tcPr>
            <w:tcW w:w="749" w:type="dxa"/>
            <w:noWrap w:val="0"/>
            <w:vAlign w:val="center"/>
          </w:tcPr>
          <w:p>
            <w:pPr>
              <w:pStyle w:val="10"/>
              <w:keepNext w:val="0"/>
              <w:keepLines w:val="0"/>
              <w:pageBreakBefore w:val="0"/>
              <w:tabs>
                <w:tab w:val="left" w:pos="420"/>
              </w:tabs>
              <w:kinsoku/>
              <w:wordWrap/>
              <w:overflowPunct/>
              <w:topLinePunct w:val="0"/>
              <w:autoSpaceDE/>
              <w:autoSpaceDN/>
              <w:bidi w:val="0"/>
              <w:adjustRightInd/>
              <w:snapToGrid/>
              <w:spacing w:line="360" w:lineRule="exact"/>
              <w:jc w:val="center"/>
              <w:textAlignment w:val="auto"/>
              <w:rPr>
                <w:rFonts w:hint="eastAsia" w:hAnsi="宋体" w:cs="宋体"/>
                <w:b/>
                <w:sz w:val="24"/>
                <w:szCs w:val="24"/>
              </w:rPr>
            </w:pPr>
            <w:r>
              <w:rPr>
                <w:rFonts w:hint="eastAsia" w:hAnsi="宋体" w:cs="宋体"/>
                <w:b/>
                <w:sz w:val="24"/>
                <w:szCs w:val="24"/>
              </w:rPr>
              <w:t>合同号</w:t>
            </w:r>
          </w:p>
        </w:tc>
        <w:tc>
          <w:tcPr>
            <w:tcW w:w="3653" w:type="dxa"/>
            <w:noWrap w:val="0"/>
            <w:vAlign w:val="center"/>
          </w:tcPr>
          <w:p>
            <w:pPr>
              <w:pStyle w:val="10"/>
              <w:keepNext w:val="0"/>
              <w:keepLines w:val="0"/>
              <w:pageBreakBefore w:val="0"/>
              <w:tabs>
                <w:tab w:val="left" w:pos="420"/>
              </w:tabs>
              <w:kinsoku/>
              <w:wordWrap/>
              <w:overflowPunct/>
              <w:topLinePunct w:val="0"/>
              <w:autoSpaceDE/>
              <w:autoSpaceDN/>
              <w:bidi w:val="0"/>
              <w:adjustRightInd/>
              <w:snapToGrid/>
              <w:spacing w:line="360" w:lineRule="exact"/>
              <w:jc w:val="center"/>
              <w:textAlignment w:val="auto"/>
              <w:rPr>
                <w:rFonts w:hint="eastAsia" w:hAnsi="宋体" w:eastAsia="宋体" w:cs="宋体"/>
                <w:b/>
                <w:sz w:val="24"/>
                <w:szCs w:val="24"/>
                <w:lang w:eastAsia="zh-CN"/>
              </w:rPr>
            </w:pPr>
            <w:r>
              <w:rPr>
                <w:rFonts w:hint="eastAsia" w:hAnsi="宋体" w:cs="宋体"/>
                <w:b/>
                <w:sz w:val="24"/>
                <w:szCs w:val="24"/>
                <w:lang w:eastAsia="zh-CN"/>
              </w:rPr>
              <w:t>采购标的</w:t>
            </w:r>
          </w:p>
        </w:tc>
        <w:tc>
          <w:tcPr>
            <w:tcW w:w="1125" w:type="dxa"/>
            <w:noWrap w:val="0"/>
            <w:vAlign w:val="center"/>
          </w:tcPr>
          <w:p>
            <w:pPr>
              <w:pStyle w:val="10"/>
              <w:keepNext w:val="0"/>
              <w:keepLines w:val="0"/>
              <w:pageBreakBefore w:val="0"/>
              <w:tabs>
                <w:tab w:val="left" w:pos="420"/>
              </w:tabs>
              <w:kinsoku/>
              <w:wordWrap/>
              <w:overflowPunct/>
              <w:topLinePunct w:val="0"/>
              <w:autoSpaceDE/>
              <w:autoSpaceDN/>
              <w:bidi w:val="0"/>
              <w:adjustRightInd/>
              <w:snapToGrid/>
              <w:spacing w:line="360" w:lineRule="exact"/>
              <w:jc w:val="center"/>
              <w:textAlignment w:val="auto"/>
              <w:rPr>
                <w:rFonts w:hint="eastAsia" w:hAnsi="宋体" w:eastAsia="宋体" w:cs="宋体"/>
                <w:b/>
                <w:sz w:val="24"/>
                <w:szCs w:val="24"/>
                <w:lang w:eastAsia="zh-CN"/>
              </w:rPr>
            </w:pPr>
            <w:r>
              <w:rPr>
                <w:rFonts w:hint="eastAsia" w:hAnsi="宋体" w:cs="宋体"/>
                <w:b/>
                <w:sz w:val="24"/>
                <w:szCs w:val="24"/>
                <w:lang w:eastAsia="zh-CN"/>
              </w:rPr>
              <w:t>数量</w:t>
            </w:r>
          </w:p>
        </w:tc>
        <w:tc>
          <w:tcPr>
            <w:tcW w:w="1700" w:type="dxa"/>
            <w:noWrap w:val="0"/>
            <w:vAlign w:val="center"/>
          </w:tcPr>
          <w:p>
            <w:pPr>
              <w:pStyle w:val="10"/>
              <w:keepNext w:val="0"/>
              <w:keepLines w:val="0"/>
              <w:pageBreakBefore w:val="0"/>
              <w:tabs>
                <w:tab w:val="left" w:pos="420"/>
              </w:tabs>
              <w:kinsoku/>
              <w:wordWrap/>
              <w:overflowPunct/>
              <w:topLinePunct w:val="0"/>
              <w:autoSpaceDE/>
              <w:autoSpaceDN/>
              <w:bidi w:val="0"/>
              <w:adjustRightInd/>
              <w:snapToGrid/>
              <w:spacing w:line="360" w:lineRule="exact"/>
              <w:jc w:val="center"/>
              <w:textAlignment w:val="auto"/>
              <w:rPr>
                <w:rFonts w:hint="eastAsia" w:hAnsi="宋体" w:cs="宋体"/>
                <w:b/>
                <w:color w:val="auto"/>
                <w:kern w:val="0"/>
                <w:sz w:val="24"/>
                <w:szCs w:val="24"/>
              </w:rPr>
            </w:pPr>
            <w:r>
              <w:rPr>
                <w:rFonts w:hint="eastAsia" w:hAnsi="宋体" w:cs="宋体"/>
                <w:b/>
                <w:sz w:val="24"/>
                <w:szCs w:val="24"/>
                <w:lang w:eastAsia="zh-CN"/>
              </w:rPr>
              <w:t>最高</w:t>
            </w:r>
            <w:r>
              <w:rPr>
                <w:rFonts w:hint="eastAsia" w:hAnsi="宋体" w:cs="宋体"/>
                <w:b/>
                <w:sz w:val="24"/>
                <w:szCs w:val="24"/>
              </w:rPr>
              <w:t>限价</w:t>
            </w:r>
          </w:p>
        </w:tc>
        <w:tc>
          <w:tcPr>
            <w:tcW w:w="201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hAnsi="宋体" w:cs="宋体"/>
                <w:b/>
                <w:color w:val="auto"/>
                <w:kern w:val="0"/>
                <w:sz w:val="24"/>
                <w:szCs w:val="24"/>
                <w:lang w:val="en-US" w:eastAsia="zh-CN" w:bidi="ar-SA"/>
              </w:rPr>
            </w:pPr>
            <w:r>
              <w:rPr>
                <w:rFonts w:hint="eastAsia" w:ascii="宋体" w:hAnsi="宋体" w:cs="宋体"/>
                <w:b/>
                <w:kern w:val="0"/>
                <w:sz w:val="24"/>
              </w:rPr>
              <w:t>主要要求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3" w:hRule="atLeast"/>
        </w:trPr>
        <w:tc>
          <w:tcPr>
            <w:tcW w:w="749" w:type="dxa"/>
            <w:noWrap w:val="0"/>
            <w:vAlign w:val="center"/>
          </w:tcPr>
          <w:p>
            <w:pPr>
              <w:pStyle w:val="10"/>
              <w:keepNext w:val="0"/>
              <w:keepLines w:val="0"/>
              <w:pageBreakBefore w:val="0"/>
              <w:tabs>
                <w:tab w:val="left" w:pos="420"/>
              </w:tabs>
              <w:kinsoku/>
              <w:wordWrap/>
              <w:overflowPunct/>
              <w:topLinePunct w:val="0"/>
              <w:bidi w:val="0"/>
              <w:adjustRightInd/>
              <w:spacing w:line="440" w:lineRule="exact"/>
              <w:jc w:val="center"/>
              <w:textAlignment w:val="auto"/>
              <w:rPr>
                <w:rFonts w:hint="eastAsia" w:hAnsi="宋体" w:cs="宋体"/>
                <w:color w:val="auto"/>
                <w:sz w:val="24"/>
                <w:szCs w:val="24"/>
              </w:rPr>
            </w:pPr>
            <w:r>
              <w:rPr>
                <w:rFonts w:hint="eastAsia" w:hAnsi="宋体" w:cs="宋体"/>
                <w:color w:val="auto"/>
                <w:sz w:val="24"/>
                <w:szCs w:val="24"/>
              </w:rPr>
              <w:t>1</w:t>
            </w:r>
          </w:p>
        </w:tc>
        <w:tc>
          <w:tcPr>
            <w:tcW w:w="3653" w:type="dxa"/>
            <w:noWrap w:val="0"/>
            <w:vAlign w:val="center"/>
          </w:tcPr>
          <w:p>
            <w:pPr>
              <w:keepNext w:val="0"/>
              <w:keepLines w:val="0"/>
              <w:pageBreakBefore w:val="0"/>
              <w:kinsoku/>
              <w:wordWrap/>
              <w:overflowPunct/>
              <w:topLinePunct w:val="0"/>
              <w:bidi w:val="0"/>
              <w:adjustRightInd/>
              <w:spacing w:line="440" w:lineRule="exact"/>
              <w:jc w:val="center"/>
              <w:textAlignment w:val="auto"/>
              <w:rPr>
                <w:rFonts w:hint="eastAsia" w:ascii="宋体" w:hAnsi="宋体" w:eastAsia="宋体" w:cs="宋体"/>
                <w:bCs/>
                <w:color w:val="FF0000"/>
                <w:sz w:val="24"/>
                <w:lang w:eastAsia="zh-CN"/>
              </w:rPr>
            </w:pPr>
            <w:r>
              <w:rPr>
                <w:rFonts w:hint="eastAsia" w:ascii="宋体" w:hAnsi="宋体" w:eastAsia="宋体" w:cs="宋体"/>
                <w:bCs/>
                <w:color w:val="FF0000"/>
                <w:sz w:val="24"/>
                <w:lang w:eastAsia="zh-CN"/>
              </w:rPr>
              <w:t>南日岛·海洋体验馆改造升级</w:t>
            </w:r>
          </w:p>
        </w:tc>
        <w:tc>
          <w:tcPr>
            <w:tcW w:w="1125" w:type="dxa"/>
            <w:noWrap w:val="0"/>
            <w:vAlign w:val="center"/>
          </w:tcPr>
          <w:p>
            <w:pPr>
              <w:keepNext w:val="0"/>
              <w:keepLines w:val="0"/>
              <w:pageBreakBefore w:val="0"/>
              <w:kinsoku/>
              <w:wordWrap/>
              <w:overflowPunct/>
              <w:topLinePunct w:val="0"/>
              <w:bidi w:val="0"/>
              <w:adjustRightInd/>
              <w:spacing w:line="440" w:lineRule="exact"/>
              <w:jc w:val="center"/>
              <w:textAlignment w:val="auto"/>
              <w:rPr>
                <w:rFonts w:hint="default" w:ascii="宋体" w:hAnsi="宋体" w:eastAsia="宋体" w:cs="宋体"/>
                <w:bCs/>
                <w:color w:val="FF0000"/>
                <w:sz w:val="24"/>
                <w:lang w:val="en-US" w:eastAsia="zh-CN"/>
              </w:rPr>
            </w:pPr>
            <w:r>
              <w:rPr>
                <w:rFonts w:hint="eastAsia" w:ascii="宋体" w:hAnsi="宋体" w:cs="宋体"/>
                <w:bCs/>
                <w:color w:val="FF0000"/>
                <w:sz w:val="24"/>
                <w:lang w:val="en-US" w:eastAsia="zh-CN"/>
              </w:rPr>
              <w:t>1批</w:t>
            </w:r>
          </w:p>
        </w:tc>
        <w:tc>
          <w:tcPr>
            <w:tcW w:w="1700" w:type="dxa"/>
            <w:noWrap w:val="0"/>
            <w:vAlign w:val="center"/>
          </w:tcPr>
          <w:p>
            <w:pPr>
              <w:keepNext w:val="0"/>
              <w:keepLines w:val="0"/>
              <w:pageBreakBefore w:val="0"/>
              <w:kinsoku/>
              <w:wordWrap/>
              <w:overflowPunct/>
              <w:topLinePunct w:val="0"/>
              <w:bidi w:val="0"/>
              <w:adjustRightInd/>
              <w:spacing w:line="440" w:lineRule="exact"/>
              <w:jc w:val="center"/>
              <w:textAlignment w:val="auto"/>
              <w:rPr>
                <w:rFonts w:hint="eastAsia" w:ascii="宋体" w:hAnsi="宋体" w:eastAsia="宋体" w:cs="宋体"/>
                <w:color w:val="FF0000"/>
                <w:sz w:val="24"/>
                <w:lang w:eastAsia="zh-CN"/>
              </w:rPr>
            </w:pPr>
            <w:r>
              <w:rPr>
                <w:rFonts w:hint="eastAsia" w:ascii="宋体" w:hAnsi="宋体" w:cs="宋体"/>
                <w:bCs/>
                <w:color w:val="FF0000"/>
                <w:sz w:val="24"/>
                <w:lang w:val="en-US" w:eastAsia="zh-CN"/>
              </w:rPr>
              <w:t>350000</w:t>
            </w:r>
            <w:r>
              <w:rPr>
                <w:rFonts w:hint="eastAsia" w:ascii="宋体" w:hAnsi="宋体" w:cs="宋体"/>
                <w:bCs/>
                <w:color w:val="FF0000"/>
                <w:sz w:val="24"/>
              </w:rPr>
              <w:t>元</w:t>
            </w:r>
          </w:p>
        </w:tc>
        <w:tc>
          <w:tcPr>
            <w:tcW w:w="2010" w:type="dxa"/>
            <w:noWrap w:val="0"/>
            <w:vAlign w:val="center"/>
          </w:tcPr>
          <w:p>
            <w:pPr>
              <w:keepNext w:val="0"/>
              <w:keepLines w:val="0"/>
              <w:pageBreakBefore w:val="0"/>
              <w:kinsoku/>
              <w:wordWrap/>
              <w:overflowPunct/>
              <w:topLinePunct w:val="0"/>
              <w:bidi w:val="0"/>
              <w:adjustRightInd/>
              <w:spacing w:line="440" w:lineRule="exact"/>
              <w:jc w:val="center"/>
              <w:textAlignment w:val="auto"/>
              <w:rPr>
                <w:rFonts w:hint="eastAsia" w:ascii="宋体" w:hAnsi="宋体" w:cs="宋体"/>
                <w:bCs/>
                <w:color w:val="auto"/>
                <w:sz w:val="24"/>
              </w:rPr>
            </w:pPr>
            <w:r>
              <w:rPr>
                <w:rFonts w:hint="eastAsia" w:ascii="宋体" w:hAnsi="宋体" w:cs="宋体"/>
                <w:bCs/>
                <w:color w:val="auto"/>
                <w:sz w:val="24"/>
              </w:rPr>
              <w:t>详见</w:t>
            </w:r>
          </w:p>
          <w:p>
            <w:pPr>
              <w:keepNext w:val="0"/>
              <w:keepLines w:val="0"/>
              <w:pageBreakBefore w:val="0"/>
              <w:kinsoku/>
              <w:wordWrap/>
              <w:overflowPunct/>
              <w:topLinePunct w:val="0"/>
              <w:bidi w:val="0"/>
              <w:adjustRightInd/>
              <w:spacing w:line="44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第五章</w:t>
            </w:r>
          </w:p>
        </w:tc>
      </w:tr>
    </w:tbl>
    <w:p>
      <w:pPr>
        <w:spacing w:beforeLines="50" w:line="360" w:lineRule="auto"/>
        <w:ind w:firstLine="354" w:firstLineChars="147"/>
        <w:rPr>
          <w:rFonts w:ascii="宋体" w:cs="宋体"/>
          <w:b/>
          <w:color w:val="auto"/>
          <w:sz w:val="24"/>
        </w:rPr>
      </w:pPr>
      <w:r>
        <w:rPr>
          <w:rFonts w:hint="eastAsia" w:ascii="宋体" w:hAnsi="宋体" w:cs="宋体"/>
          <w:b/>
          <w:color w:val="auto"/>
          <w:sz w:val="24"/>
        </w:rPr>
        <w:t>备注：</w:t>
      </w:r>
    </w:p>
    <w:p>
      <w:pPr>
        <w:pStyle w:val="10"/>
        <w:numPr>
          <w:ilvl w:val="0"/>
          <w:numId w:val="3"/>
        </w:numPr>
        <w:tabs>
          <w:tab w:val="left" w:pos="8360"/>
        </w:tabs>
        <w:spacing w:line="360" w:lineRule="auto"/>
        <w:ind w:firstLine="477" w:firstLineChars="199"/>
        <w:jc w:val="left"/>
        <w:rPr>
          <w:rFonts w:hAnsi="宋体" w:cs="宋体"/>
          <w:color w:val="auto"/>
          <w:sz w:val="24"/>
        </w:rPr>
      </w:pPr>
      <w:r>
        <w:rPr>
          <w:rFonts w:hint="eastAsia" w:hAnsi="宋体" w:cs="宋体"/>
          <w:color w:val="auto"/>
          <w:sz w:val="24"/>
        </w:rPr>
        <w:t>投标人按合同包投标，对同一合同包内所有品目号内容投标时必须完整。评标与授标以合同包为单位。</w:t>
      </w:r>
    </w:p>
    <w:p>
      <w:pPr>
        <w:numPr>
          <w:ilvl w:val="0"/>
          <w:numId w:val="0"/>
        </w:numPr>
        <w:spacing w:line="360" w:lineRule="auto"/>
        <w:ind w:firstLine="480" w:firstLineChars="200"/>
      </w:pPr>
      <w:r>
        <w:rPr>
          <w:rFonts w:hint="eastAsia" w:ascii="宋体" w:hAnsi="宋体" w:cs="宋体"/>
          <w:color w:val="auto"/>
          <w:sz w:val="24"/>
          <w:lang w:val="en-US" w:eastAsia="zh-CN"/>
        </w:rPr>
        <w:t>2、</w:t>
      </w:r>
      <w:r>
        <w:rPr>
          <w:rFonts w:hint="eastAsia" w:ascii="宋体" w:hAnsi="宋体" w:cs="宋体"/>
          <w:color w:val="auto"/>
          <w:sz w:val="24"/>
        </w:rPr>
        <w:t>中标人不得转包他人，若发现转包，</w:t>
      </w:r>
      <w:r>
        <w:rPr>
          <w:rFonts w:hint="eastAsia" w:ascii="宋体" w:hAnsi="宋体" w:cs="宋体"/>
          <w:color w:val="auto"/>
          <w:sz w:val="24"/>
          <w:lang w:eastAsia="zh-CN"/>
        </w:rPr>
        <w:t>采购人</w:t>
      </w:r>
      <w:r>
        <w:rPr>
          <w:rFonts w:hint="eastAsia" w:ascii="宋体" w:hAnsi="宋体" w:cs="宋体"/>
          <w:color w:val="auto"/>
          <w:sz w:val="24"/>
        </w:rPr>
        <w:t>有权终止合同，并追究相应法律责任。中标人在合同期内未经</w:t>
      </w:r>
      <w:r>
        <w:rPr>
          <w:rFonts w:hint="eastAsia" w:ascii="宋体" w:hAnsi="宋体" w:cs="宋体"/>
          <w:color w:val="auto"/>
          <w:sz w:val="24"/>
          <w:lang w:eastAsia="zh-CN"/>
        </w:rPr>
        <w:t>采购人</w:t>
      </w:r>
      <w:r>
        <w:rPr>
          <w:rFonts w:hint="eastAsia" w:ascii="宋体" w:hAnsi="宋体" w:cs="宋体"/>
          <w:color w:val="auto"/>
          <w:sz w:val="24"/>
        </w:rPr>
        <w:t>同意不得擅自中止合同，违反合同的要承担由此给</w:t>
      </w:r>
      <w:r>
        <w:rPr>
          <w:rFonts w:hint="eastAsia" w:ascii="宋体" w:hAnsi="宋体" w:cs="宋体"/>
          <w:color w:val="auto"/>
          <w:sz w:val="24"/>
          <w:lang w:eastAsia="zh-CN"/>
        </w:rPr>
        <w:t>采购人</w:t>
      </w:r>
      <w:r>
        <w:rPr>
          <w:rFonts w:hint="eastAsia" w:ascii="宋体" w:hAnsi="宋体" w:cs="宋体"/>
          <w:color w:val="auto"/>
          <w:sz w:val="24"/>
        </w:rPr>
        <w:t>造成的损失。</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eastAsia="宋体"/>
          <w:lang w:val="en-US" w:eastAsia="zh-CN"/>
        </w:rPr>
      </w:pPr>
      <w:r>
        <w:rPr>
          <w:rFonts w:hint="eastAsia" w:ascii="宋体" w:hAnsi="宋体" w:cs="宋体"/>
          <w:color w:val="auto"/>
          <w:sz w:val="24"/>
          <w:lang w:val="en-US" w:eastAsia="zh-CN"/>
        </w:rPr>
        <w:t>3、本次采购项目设有最高限价，当投标人的报价超过最高限价的作为无效标处理。</w:t>
      </w:r>
    </w:p>
    <w:p>
      <w:pPr>
        <w:spacing w:beforeLines="100" w:afterLines="100" w:line="400" w:lineRule="exact"/>
        <w:jc w:val="center"/>
        <w:rPr>
          <w:rFonts w:ascii="宋体" w:cs="宋体"/>
          <w:b/>
          <w:bCs/>
          <w:color w:val="auto"/>
          <w:kern w:val="0"/>
          <w:sz w:val="32"/>
        </w:rPr>
      </w:pPr>
    </w:p>
    <w:p>
      <w:pPr>
        <w:spacing w:beforeLines="100" w:afterLines="100" w:line="400" w:lineRule="exact"/>
        <w:jc w:val="center"/>
        <w:rPr>
          <w:rFonts w:ascii="宋体" w:cs="宋体"/>
          <w:b/>
          <w:bCs/>
          <w:color w:val="auto"/>
          <w:kern w:val="0"/>
          <w:sz w:val="32"/>
        </w:rPr>
      </w:pPr>
    </w:p>
    <w:p>
      <w:pPr>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b/>
          <w:color w:val="auto"/>
          <w:sz w:val="32"/>
          <w:szCs w:val="32"/>
        </w:rPr>
      </w:pPr>
      <w:r>
        <w:rPr>
          <w:rFonts w:hint="eastAsia" w:ascii="宋体" w:hAnsi="宋体" w:cs="宋体"/>
          <w:b/>
          <w:bCs/>
          <w:color w:val="auto"/>
          <w:kern w:val="0"/>
          <w:sz w:val="32"/>
        </w:rPr>
        <w:t>第二章</w:t>
      </w:r>
      <w:r>
        <w:rPr>
          <w:rFonts w:ascii="宋体" w:hAnsi="宋体" w:cs="宋体"/>
          <w:b/>
          <w:bCs/>
          <w:color w:val="auto"/>
          <w:kern w:val="0"/>
          <w:sz w:val="32"/>
        </w:rPr>
        <w:t xml:space="preserve">   </w:t>
      </w:r>
      <w:r>
        <w:rPr>
          <w:rFonts w:hint="eastAsia" w:ascii="宋体" w:hAnsi="宋体" w:cs="宋体"/>
          <w:b/>
          <w:bCs/>
          <w:color w:val="auto"/>
          <w:kern w:val="0"/>
          <w:sz w:val="32"/>
        </w:rPr>
        <w:t>投标人须知前附表</w:t>
      </w:r>
    </w:p>
    <w:tbl>
      <w:tblPr>
        <w:tblStyle w:val="1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5"/>
        <w:gridCol w:w="2067"/>
        <w:gridCol w:w="67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10" w:hRule="atLeast"/>
          <w:tblCellSpacing w:w="15" w:type="dxa"/>
        </w:trPr>
        <w:tc>
          <w:tcPr>
            <w:tcW w:w="9652" w:type="dxa"/>
            <w:gridSpan w:val="3"/>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b/>
                <w:bCs/>
                <w:kern w:val="0"/>
                <w:sz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项号</w:t>
            </w:r>
          </w:p>
        </w:tc>
        <w:tc>
          <w:tcPr>
            <w:tcW w:w="2037"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招标文件</w:t>
            </w:r>
          </w:p>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（第三章）</w:t>
            </w:r>
          </w:p>
        </w:tc>
        <w:tc>
          <w:tcPr>
            <w:tcW w:w="674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1</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是否组织现场考察或召开开标前答疑会：</w:t>
            </w:r>
            <w:r>
              <w:rPr>
                <w:rFonts w:ascii="宋体" w:hAnsi="宋体" w:cs="宋体"/>
                <w:kern w:val="0"/>
                <w:sz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2</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投标文件的份数</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（1）纸质投标文件：</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①资格及资信证明部分的正本</w:t>
            </w:r>
            <w:r>
              <w:rPr>
                <w:rFonts w:ascii="宋体" w:hAnsi="宋体" w:cs="宋体"/>
                <w:kern w:val="0"/>
                <w:sz w:val="24"/>
                <w:u w:val="single"/>
              </w:rPr>
              <w:t>1</w:t>
            </w:r>
            <w:r>
              <w:rPr>
                <w:rFonts w:ascii="宋体" w:hAnsi="宋体" w:cs="宋体"/>
                <w:kern w:val="0"/>
                <w:sz w:val="24"/>
              </w:rPr>
              <w:t>份、副本</w:t>
            </w:r>
            <w:r>
              <w:rPr>
                <w:rFonts w:ascii="宋体" w:hAnsi="宋体" w:cs="宋体"/>
                <w:kern w:val="0"/>
                <w:sz w:val="24"/>
                <w:u w:val="single"/>
              </w:rPr>
              <w:t>1</w:t>
            </w:r>
            <w:r>
              <w:rPr>
                <w:rFonts w:ascii="宋体" w:hAnsi="宋体" w:cs="宋体"/>
                <w:kern w:val="0"/>
                <w:sz w:val="24"/>
              </w:rPr>
              <w:t>份，报价部分的正本</w:t>
            </w:r>
            <w:r>
              <w:rPr>
                <w:rFonts w:ascii="宋体" w:hAnsi="宋体" w:cs="宋体"/>
                <w:kern w:val="0"/>
                <w:sz w:val="24"/>
                <w:u w:val="single"/>
              </w:rPr>
              <w:t>1</w:t>
            </w:r>
            <w:r>
              <w:rPr>
                <w:rFonts w:ascii="宋体" w:hAnsi="宋体" w:cs="宋体"/>
                <w:kern w:val="0"/>
                <w:sz w:val="24"/>
              </w:rPr>
              <w:t>份、副本</w:t>
            </w:r>
            <w:r>
              <w:rPr>
                <w:rFonts w:ascii="宋体" w:hAnsi="宋体" w:cs="宋体"/>
                <w:kern w:val="0"/>
                <w:sz w:val="24"/>
                <w:u w:val="single"/>
              </w:rPr>
              <w:t>1</w:t>
            </w:r>
            <w:r>
              <w:rPr>
                <w:rFonts w:ascii="宋体" w:hAnsi="宋体" w:cs="宋体"/>
                <w:kern w:val="0"/>
                <w:sz w:val="24"/>
              </w:rPr>
              <w:t>份，技术商务部分的正本</w:t>
            </w:r>
            <w:r>
              <w:rPr>
                <w:rFonts w:ascii="宋体" w:hAnsi="宋体" w:cs="宋体"/>
                <w:kern w:val="0"/>
                <w:sz w:val="24"/>
                <w:u w:val="single"/>
              </w:rPr>
              <w:t>1</w:t>
            </w:r>
            <w:r>
              <w:rPr>
                <w:rFonts w:ascii="宋体" w:hAnsi="宋体" w:cs="宋体"/>
                <w:kern w:val="0"/>
                <w:sz w:val="24"/>
              </w:rPr>
              <w:t>份、副本</w:t>
            </w:r>
            <w:r>
              <w:rPr>
                <w:rFonts w:ascii="宋体" w:hAnsi="宋体" w:cs="宋体"/>
                <w:kern w:val="0"/>
                <w:sz w:val="24"/>
                <w:u w:val="single"/>
              </w:rPr>
              <w:t>1</w:t>
            </w:r>
            <w:r>
              <w:rPr>
                <w:rFonts w:ascii="宋体" w:hAnsi="宋体" w:cs="宋体"/>
                <w:kern w:val="0"/>
                <w:sz w:val="24"/>
              </w:rPr>
              <w:t>份。</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②可读介质（光盘或</w:t>
            </w:r>
            <w:r>
              <w:rPr>
                <w:kern w:val="0"/>
                <w:sz w:val="24"/>
              </w:rPr>
              <w:t>U</w:t>
            </w:r>
            <w:r>
              <w:rPr>
                <w:rFonts w:ascii="宋体" w:hAnsi="宋体" w:cs="宋体"/>
                <w:kern w:val="0"/>
                <w:sz w:val="24"/>
              </w:rPr>
              <w:t>盘）</w:t>
            </w:r>
            <w:r>
              <w:rPr>
                <w:rFonts w:ascii="宋体" w:hAnsi="宋体" w:cs="宋体"/>
                <w:kern w:val="0"/>
                <w:sz w:val="24"/>
                <w:u w:val="single"/>
              </w:rPr>
              <w:t>1</w:t>
            </w:r>
            <w:r>
              <w:rPr>
                <w:rFonts w:ascii="宋体" w:hAnsi="宋体" w:cs="宋体"/>
                <w:kern w:val="0"/>
                <w:sz w:val="24"/>
              </w:rPr>
              <w:t>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3</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允许散装或活页装订的内容或材料</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（1）投标文件的补充、修改或撤回；</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（2）其他内容或材料：无。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4</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是否允许中标人将本项目的非主体、非关键性工作进行分包</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90" w:hRule="atLeast"/>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5</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b/>
                <w:bCs/>
                <w:kern w:val="0"/>
                <w:sz w:val="24"/>
              </w:rPr>
              <w:t>投标有效期</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投标截止时间起90个日历日。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6</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密封及其标记的具体形式</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（1）全部纸质投标文件（包括正本、副本及可读介质）均应密封，否则</w:t>
            </w:r>
            <w:r>
              <w:rPr>
                <w:rFonts w:ascii="宋体" w:hAnsi="宋体" w:cs="宋体"/>
                <w:b/>
                <w:bCs/>
                <w:kern w:val="0"/>
                <w:sz w:val="24"/>
              </w:rPr>
              <w:t>投标将被拒绝。</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（2）密封的外包装应至少标记“项目名称、招标编号、所投合同包、投标人的全称”等内容，否则造成投标文件误投、遗漏或提前拆封的，</w:t>
            </w:r>
            <w:r>
              <w:rPr>
                <w:rFonts w:hint="eastAsia" w:ascii="宋体" w:hAnsi="宋体" w:cs="宋体"/>
                <w:kern w:val="0"/>
                <w:sz w:val="24"/>
                <w:u w:val="single"/>
                <w:lang w:eastAsia="zh-CN"/>
              </w:rPr>
              <w:t>莆田市信成造价咨询有限公司</w:t>
            </w:r>
            <w:r>
              <w:rPr>
                <w:rFonts w:ascii="宋体" w:hAnsi="宋体" w:cs="宋体"/>
                <w:kern w:val="0"/>
                <w:sz w:val="24"/>
              </w:rPr>
              <w:t>不承担责任。</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（3）其他：无。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kern w:val="0"/>
                <w:sz w:val="24"/>
              </w:rPr>
              <w:t>7</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both"/>
              <w:textAlignment w:val="auto"/>
              <w:rPr>
                <w:rFonts w:ascii="宋体" w:hAnsi="宋体" w:cs="宋体"/>
                <w:kern w:val="0"/>
                <w:sz w:val="24"/>
              </w:rPr>
            </w:pPr>
            <w:r>
              <w:rPr>
                <w:rFonts w:hint="eastAsia" w:ascii="宋体" w:hAnsi="宋体" w:cs="宋体"/>
                <w:b/>
                <w:bCs/>
                <w:color w:val="auto"/>
                <w:kern w:val="0"/>
                <w:sz w:val="24"/>
              </w:rPr>
              <w:t>推荐候选人</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widowControl/>
              <w:jc w:val="center"/>
              <w:rPr>
                <w:rFonts w:ascii="宋体" w:hAnsi="宋体" w:cs="宋体"/>
                <w:kern w:val="0"/>
                <w:sz w:val="24"/>
              </w:rPr>
            </w:pPr>
            <w:r>
              <w:rPr>
                <w:rFonts w:hint="eastAsia" w:ascii="宋体" w:hAnsi="宋体" w:cs="宋体"/>
                <w:color w:val="auto"/>
                <w:kern w:val="0"/>
                <w:sz w:val="24"/>
              </w:rPr>
              <w:t>8</w:t>
            </w:r>
          </w:p>
        </w:tc>
        <w:tc>
          <w:tcPr>
            <w:tcW w:w="2037"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b/>
                <w:bCs/>
                <w:kern w:val="0"/>
                <w:sz w:val="24"/>
              </w:rPr>
            </w:pPr>
            <w:r>
              <w:rPr>
                <w:rFonts w:hint="eastAsia" w:ascii="宋体" w:hAnsi="宋体" w:cs="宋体"/>
                <w:b/>
                <w:bCs/>
                <w:kern w:val="0"/>
                <w:sz w:val="24"/>
              </w:rPr>
              <w:t>本项目中标人的确定（以合同包为单位）</w:t>
            </w:r>
          </w:p>
        </w:tc>
        <w:tc>
          <w:tcPr>
            <w:tcW w:w="6745"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widowControl/>
              <w:spacing w:line="360" w:lineRule="exact"/>
              <w:jc w:val="left"/>
              <w:rPr>
                <w:rFonts w:ascii="宋体" w:hAnsi="宋体" w:cs="宋体"/>
                <w:color w:val="FF0000"/>
                <w:kern w:val="0"/>
                <w:sz w:val="24"/>
              </w:rPr>
            </w:pPr>
            <w:r>
              <w:rPr>
                <w:rFonts w:hint="eastAsia" w:ascii="宋体" w:hAnsi="宋体" w:cs="宋体"/>
                <w:color w:val="auto"/>
                <w:kern w:val="0"/>
                <w:sz w:val="24"/>
              </w:rPr>
              <w:t>详见第四章《资格审查与评标》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widowControl/>
              <w:jc w:val="left"/>
              <w:rPr>
                <w:rFonts w:ascii="宋体" w:hAnsi="宋体" w:cs="宋体"/>
                <w:kern w:val="0"/>
                <w:sz w:val="24"/>
              </w:rPr>
            </w:pP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9</w:t>
            </w:r>
          </w:p>
        </w:tc>
        <w:tc>
          <w:tcPr>
            <w:tcW w:w="2037"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b/>
                <w:bCs/>
                <w:kern w:val="0"/>
                <w:sz w:val="24"/>
              </w:rPr>
            </w:pPr>
            <w:r>
              <w:rPr>
                <w:rFonts w:hint="eastAsia" w:ascii="宋体" w:hAnsi="宋体" w:cs="宋体"/>
                <w:b/>
                <w:bCs/>
                <w:kern w:val="0"/>
                <w:sz w:val="24"/>
              </w:rPr>
              <w:t>本项目中标人的确定（以合同包为单位）</w:t>
            </w:r>
          </w:p>
        </w:tc>
        <w:tc>
          <w:tcPr>
            <w:tcW w:w="6745"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pStyle w:val="15"/>
              <w:widowControl/>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）采购人应在政府采购招投标管理办法规定的时限内确定中标人。</w:t>
            </w:r>
          </w:p>
          <w:p>
            <w:pPr>
              <w:pStyle w:val="15"/>
              <w:widowControl/>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）若出现中标候选人并列情形，则按照下列方式确定中标人：</w:t>
            </w:r>
          </w:p>
          <w:p>
            <w:pPr>
              <w:pStyle w:val="15"/>
              <w:widowControl/>
              <w:rPr>
                <w:color w:val="auto"/>
              </w:rPr>
            </w:pPr>
            <w:r>
              <w:rPr>
                <w:rFonts w:hint="eastAsia" w:ascii="宋体" w:hAnsi="宋体" w:cs="宋体"/>
                <w:color w:val="auto"/>
              </w:rPr>
              <w:t>①招标文件规定的方式：</w:t>
            </w:r>
            <w:r>
              <w:rPr>
                <w:rFonts w:hint="eastAsia"/>
                <w:color w:val="auto"/>
              </w:rPr>
              <w:t>无。</w:t>
            </w:r>
          </w:p>
          <w:p>
            <w:pPr>
              <w:pStyle w:val="15"/>
              <w:widowControl/>
              <w:rPr>
                <w:color w:val="auto"/>
              </w:rPr>
            </w:pPr>
            <w:r>
              <w:rPr>
                <w:rFonts w:hint="eastAsia" w:ascii="宋体" w:hAnsi="宋体" w:cs="宋体"/>
                <w:color w:val="auto"/>
              </w:rPr>
              <w:t>②若本款第①点规定方式为“无”，则按照下列方式确定：无。</w:t>
            </w:r>
          </w:p>
          <w:p>
            <w:pPr>
              <w:pStyle w:val="15"/>
              <w:widowControl/>
              <w:rPr>
                <w:b/>
                <w:bCs/>
                <w:color w:val="auto"/>
              </w:rPr>
            </w:pPr>
            <w:r>
              <w:rPr>
                <w:rFonts w:hint="eastAsia" w:ascii="宋体" w:hAnsi="宋体" w:cs="宋体"/>
                <w:color w:val="auto"/>
              </w:rPr>
              <w:t>③若本款第①、②点规定方式均为“无”，则按照下列方式确定：</w:t>
            </w:r>
            <w:r>
              <w:rPr>
                <w:rFonts w:hint="eastAsia" w:ascii="宋体" w:hAnsi="宋体" w:cs="宋体"/>
                <w:b/>
                <w:bCs/>
                <w:color w:val="auto"/>
              </w:rPr>
              <w:t>随机抽取。</w:t>
            </w:r>
          </w:p>
          <w:p>
            <w:pPr>
              <w:pStyle w:val="15"/>
              <w:widowControl/>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）本项目确定的中标人家数：</w:t>
            </w:r>
          </w:p>
          <w:p>
            <w:pPr>
              <w:pStyle w:val="15"/>
              <w:widowControl/>
              <w:rPr>
                <w:color w:val="auto"/>
              </w:rPr>
            </w:pPr>
            <w:r>
              <w:rPr>
                <w:rFonts w:hint="eastAsia" w:ascii="宋体" w:hAnsi="宋体" w:cs="宋体"/>
                <w:color w:val="auto"/>
              </w:rPr>
              <w:t>①本项目确定合同包</w:t>
            </w:r>
            <w:r>
              <w:rPr>
                <w:rFonts w:ascii="宋体" w:hAnsi="宋体" w:cs="宋体"/>
                <w:color w:val="auto"/>
              </w:rPr>
              <w:t>1</w:t>
            </w:r>
            <w:r>
              <w:rPr>
                <w:rFonts w:hint="eastAsia" w:ascii="宋体" w:hAnsi="宋体" w:cs="宋体"/>
                <w:color w:val="auto"/>
              </w:rPr>
              <w:t>中标人数为</w:t>
            </w:r>
            <w:r>
              <w:rPr>
                <w:rFonts w:ascii="宋体" w:hAnsi="宋体" w:cs="宋体"/>
                <w:color w:val="auto"/>
              </w:rPr>
              <w:t>1</w:t>
            </w:r>
            <w:r>
              <w:rPr>
                <w:rFonts w:hint="eastAsia" w:ascii="宋体" w:hAnsi="宋体" w:cs="宋体"/>
                <w:color w:val="auto"/>
              </w:rPr>
              <w:t>家；</w:t>
            </w:r>
          </w:p>
          <w:p>
            <w:pPr>
              <w:widowControl/>
              <w:spacing w:line="360" w:lineRule="exact"/>
              <w:jc w:val="left"/>
              <w:rPr>
                <w:rFonts w:ascii="宋体" w:hAnsi="宋体" w:cs="宋体"/>
                <w:color w:val="FF0000"/>
                <w:kern w:val="0"/>
                <w:sz w:val="24"/>
              </w:rPr>
            </w:pPr>
            <w:r>
              <w:rPr>
                <w:rFonts w:hint="eastAsia" w:ascii="宋体" w:hAnsi="宋体" w:cs="宋体"/>
                <w:color w:val="auto"/>
                <w:sz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质疑函原件应采用下列方式提交</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书面形式。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11</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kern w:val="0"/>
                <w:sz w:val="24"/>
              </w:rPr>
              <w:t>招标文件的质疑</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p>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Calibri" w:hAnsi="Calibri" w:cs="Calibri"/>
                <w:kern w:val="0"/>
                <w:sz w:val="24"/>
              </w:rPr>
              <w:t> </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（1）潜在投标人可在质疑时效期间内对招标文件以书面形式提出质疑。</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（2）质疑时效期间：</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kern w:val="0"/>
                <w:sz w:val="24"/>
              </w:rPr>
              <w:t>①在招标文件公告期限内：自招标文件</w:t>
            </w:r>
            <w:r>
              <w:rPr>
                <w:rFonts w:hint="eastAsia" w:ascii="宋体" w:hAnsi="宋体" w:cs="宋体"/>
                <w:kern w:val="0"/>
                <w:sz w:val="24"/>
                <w:lang w:eastAsia="zh-CN"/>
              </w:rPr>
              <w:t>报名</w:t>
            </w:r>
            <w:r>
              <w:rPr>
                <w:rFonts w:ascii="宋体" w:hAnsi="宋体" w:cs="宋体"/>
                <w:kern w:val="0"/>
                <w:sz w:val="24"/>
              </w:rPr>
              <w:t>之日起</w:t>
            </w:r>
            <w:r>
              <w:rPr>
                <w:kern w:val="0"/>
                <w:sz w:val="24"/>
              </w:rPr>
              <w:t>7</w:t>
            </w:r>
            <w:r>
              <w:rPr>
                <w:rFonts w:ascii="宋体" w:hAnsi="宋体" w:cs="宋体"/>
                <w:kern w:val="0"/>
                <w:sz w:val="24"/>
              </w:rPr>
              <w:t>个工作日内向</w:t>
            </w:r>
            <w:r>
              <w:rPr>
                <w:rFonts w:hint="eastAsia" w:ascii="宋体" w:hAnsi="宋体" w:cs="宋体"/>
                <w:kern w:val="0"/>
                <w:sz w:val="24"/>
                <w:u w:val="single"/>
                <w:lang w:eastAsia="zh-CN"/>
              </w:rPr>
              <w:t>莆田市信成造价咨询有限公司</w:t>
            </w:r>
            <w:r>
              <w:rPr>
                <w:rFonts w:ascii="宋体" w:hAnsi="宋体" w:cs="宋体"/>
                <w:kern w:val="0"/>
                <w:sz w:val="24"/>
              </w:rPr>
              <w:t>提出。</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color w:val="000000" w:themeColor="text1"/>
                <w:kern w:val="0"/>
                <w:sz w:val="24"/>
                <w14:textFill>
                  <w14:solidFill>
                    <w14:schemeClr w14:val="tx1"/>
                  </w14:solidFill>
                </w14:textFill>
              </w:rPr>
            </w:pPr>
            <w:r>
              <w:rPr>
                <w:rFonts w:ascii="宋体" w:hAnsi="宋体" w:cs="宋体"/>
                <w:kern w:val="0"/>
                <w:sz w:val="24"/>
              </w:rPr>
              <w:t>②在招标文件公告期限截止后至招标文件提供期限届满前的期间内</w:t>
            </w:r>
            <w:r>
              <w:rPr>
                <w:rFonts w:ascii="宋体" w:hAnsi="宋体" w:cs="宋体"/>
                <w:color w:val="000000" w:themeColor="text1"/>
                <w:kern w:val="0"/>
                <w:sz w:val="24"/>
                <w14:textFill>
                  <w14:solidFill>
                    <w14:schemeClr w14:val="tx1"/>
                  </w14:solidFill>
                </w14:textFill>
              </w:rPr>
              <w:t>：自招标文件公告期限届满之日起</w:t>
            </w:r>
            <w:r>
              <w:rPr>
                <w:color w:val="000000" w:themeColor="text1"/>
                <w:kern w:val="0"/>
                <w:sz w:val="24"/>
                <w14:textFill>
                  <w14:solidFill>
                    <w14:schemeClr w14:val="tx1"/>
                  </w14:solidFill>
                </w14:textFill>
              </w:rPr>
              <w:t>7</w:t>
            </w:r>
            <w:r>
              <w:rPr>
                <w:rFonts w:ascii="宋体" w:hAnsi="宋体" w:cs="宋体"/>
                <w:color w:val="000000" w:themeColor="text1"/>
                <w:kern w:val="0"/>
                <w:sz w:val="24"/>
                <w14:textFill>
                  <w14:solidFill>
                    <w14:schemeClr w14:val="tx1"/>
                  </w14:solidFill>
                </w14:textFill>
              </w:rPr>
              <w:t>个工作日内向</w:t>
            </w:r>
            <w:r>
              <w:rPr>
                <w:rFonts w:hint="eastAsia" w:ascii="宋体" w:hAnsi="宋体" w:cs="宋体"/>
                <w:color w:val="000000" w:themeColor="text1"/>
                <w:kern w:val="0"/>
                <w:sz w:val="24"/>
                <w:u w:val="single"/>
                <w:lang w:eastAsia="zh-CN"/>
                <w14:textFill>
                  <w14:solidFill>
                    <w14:schemeClr w14:val="tx1"/>
                  </w14:solidFill>
                </w14:textFill>
              </w:rPr>
              <w:t>莆田市信成造价咨询有限公司</w:t>
            </w:r>
            <w:r>
              <w:rPr>
                <w:rFonts w:ascii="宋体" w:hAnsi="宋体" w:cs="宋体"/>
                <w:color w:val="000000" w:themeColor="text1"/>
                <w:kern w:val="0"/>
                <w:sz w:val="24"/>
                <w14:textFill>
                  <w14:solidFill>
                    <w14:schemeClr w14:val="tx1"/>
                  </w14:solidFill>
                </w14:textFill>
              </w:rPr>
              <w:t>提出。</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color w:val="000000" w:themeColor="text1"/>
                <w:kern w:val="0"/>
                <w:sz w:val="24"/>
                <w14:textFill>
                  <w14:solidFill>
                    <w14:schemeClr w14:val="tx1"/>
                  </w14:solidFill>
                </w14:textFill>
              </w:rPr>
              <w:t>※除上述规定外，对招标文件提出的质疑还应符合招标文件第三章第</w:t>
            </w:r>
            <w:r>
              <w:rPr>
                <w:b/>
                <w:bCs/>
                <w:color w:val="000000" w:themeColor="text1"/>
                <w:kern w:val="0"/>
                <w:sz w:val="24"/>
                <w14:textFill>
                  <w14:solidFill>
                    <w14:schemeClr w14:val="tx1"/>
                  </w14:solidFill>
                </w14:textFill>
              </w:rPr>
              <w:t>15.1</w:t>
            </w:r>
            <w:r>
              <w:rPr>
                <w:rFonts w:ascii="宋体" w:hAnsi="宋体" w:cs="宋体"/>
                <w:b/>
                <w:bCs/>
                <w:color w:val="000000" w:themeColor="text1"/>
                <w:kern w:val="0"/>
                <w:sz w:val="24"/>
                <w14:textFill>
                  <w14:solidFill>
                    <w14:schemeClr w14:val="tx1"/>
                  </w14:solidFill>
                </w14:textFill>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90" w:hRule="atLeast"/>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kern w:val="0"/>
                <w:sz w:val="24"/>
                <w:lang w:eastAsia="zh-CN"/>
              </w:rPr>
            </w:pPr>
            <w:r>
              <w:rPr>
                <w:rFonts w:hint="eastAsia" w:ascii="宋体" w:hAnsi="宋体" w:cs="宋体"/>
                <w:kern w:val="0"/>
                <w:sz w:val="24"/>
                <w:lang w:val="en-US" w:eastAsia="zh-CN"/>
              </w:rPr>
              <w:t>12</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ascii="宋体" w:hAnsi="宋体" w:cs="宋体"/>
                <w:b/>
                <w:bCs/>
                <w:kern w:val="0"/>
                <w:sz w:val="24"/>
              </w:rPr>
              <w:t>监督管理部门</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hAnsi="宋体" w:cs="宋体"/>
                <w:kern w:val="0"/>
                <w:sz w:val="24"/>
              </w:rPr>
            </w:pPr>
            <w:r>
              <w:rPr>
                <w:rFonts w:hint="eastAsia" w:ascii="宋体" w:hAnsi="宋体" w:cs="宋体"/>
                <w:bCs/>
                <w:color w:val="auto"/>
                <w:kern w:val="0"/>
                <w:sz w:val="24"/>
                <w:highlight w:val="none"/>
              </w:rPr>
              <w:t>莆田市</w:t>
            </w:r>
            <w:r>
              <w:rPr>
                <w:rFonts w:hint="eastAsia" w:ascii="宋体" w:hAnsi="宋体" w:cs="宋体"/>
                <w:bCs/>
                <w:color w:val="auto"/>
                <w:kern w:val="0"/>
                <w:sz w:val="24"/>
                <w:highlight w:val="none"/>
                <w:lang w:eastAsia="zh-CN"/>
              </w:rPr>
              <w:t>振兴乡村集团有限公司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kern w:val="0"/>
                <w:sz w:val="24"/>
                <w:lang w:eastAsia="zh-CN"/>
              </w:rPr>
            </w:pPr>
            <w:r>
              <w:rPr>
                <w:rFonts w:hint="eastAsia" w:ascii="宋体" w:hAnsi="宋体" w:cs="宋体"/>
                <w:kern w:val="0"/>
                <w:sz w:val="24"/>
                <w:lang w:val="en-US" w:eastAsia="zh-CN"/>
              </w:rPr>
              <w:t>13</w:t>
            </w:r>
          </w:p>
        </w:tc>
        <w:tc>
          <w:tcPr>
            <w:tcW w:w="2037"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ascii="宋体" w:hAnsi="宋体" w:cs="宋体"/>
                <w:b/>
                <w:bCs/>
                <w:color w:val="000000" w:themeColor="text1"/>
                <w:kern w:val="0"/>
                <w:sz w:val="24"/>
                <w14:textFill>
                  <w14:solidFill>
                    <w14:schemeClr w14:val="tx1"/>
                  </w14:solidFill>
                </w14:textFill>
              </w:rPr>
              <w:t>采购信息发布媒体</w:t>
            </w:r>
          </w:p>
        </w:tc>
        <w:tc>
          <w:tcPr>
            <w:tcW w:w="6745" w:type="dxa"/>
            <w:tcBorders>
              <w:top w:val="nil"/>
              <w:left w:val="nil"/>
              <w:bottom w:val="outset" w:color="000000" w:sz="6" w:space="0"/>
              <w:right w:val="outset"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采购信息发布网站（招标公告、更改通知、答疑纪要、中标结果等信息）：</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1</w:t>
            </w: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rPr>
              <w:t>莆田市</w:t>
            </w:r>
            <w:r>
              <w:rPr>
                <w:rFonts w:hint="eastAsia" w:ascii="宋体" w:hAnsi="宋体" w:eastAsia="宋体" w:cs="宋体"/>
                <w:bCs/>
                <w:color w:val="auto"/>
                <w:kern w:val="0"/>
                <w:sz w:val="24"/>
                <w:highlight w:val="none"/>
                <w:lang w:eastAsia="zh-CN"/>
              </w:rPr>
              <w:t>振兴乡村集团有限公司</w:t>
            </w:r>
            <w:r>
              <w:rPr>
                <w:rFonts w:hint="eastAsia" w:ascii="宋体" w:hAnsi="宋体" w:eastAsia="宋体" w:cs="宋体"/>
                <w:bCs/>
                <w:color w:val="auto"/>
                <w:kern w:val="0"/>
                <w:sz w:val="24"/>
                <w:highlight w:val="none"/>
              </w:rPr>
              <w:t>官网网址http://www.ptxczx.com/。</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hint="eastAsia" w:ascii="宋体" w:hAnsi="宋体" w:eastAsia="宋体" w:cs="宋体"/>
                <w:kern w:val="0"/>
                <w:sz w:val="24"/>
                <w:lang w:eastAsia="zh-CN"/>
              </w:rPr>
            </w:pPr>
            <w:r>
              <w:rPr>
                <w:rFonts w:hint="eastAsia" w:ascii="宋体" w:hAnsi="宋体" w:eastAsia="宋体" w:cs="宋体"/>
                <w:bCs/>
                <w:color w:val="auto"/>
                <w:kern w:val="0"/>
                <w:sz w:val="24"/>
                <w:highlight w:val="none"/>
                <w:lang w:eastAsia="zh-CN"/>
              </w:rPr>
              <w:t>（</w:t>
            </w:r>
            <w:r>
              <w:rPr>
                <w:rFonts w:hint="eastAsia" w:ascii="宋体" w:hAnsi="宋体" w:eastAsia="宋体" w:cs="宋体"/>
                <w:bCs/>
                <w:color w:val="auto"/>
                <w:kern w:val="0"/>
                <w:sz w:val="24"/>
                <w:highlight w:val="none"/>
                <w:lang w:val="en-US" w:eastAsia="zh-CN"/>
              </w:rPr>
              <w:t>2</w:t>
            </w:r>
            <w:r>
              <w:rPr>
                <w:rFonts w:hint="eastAsia" w:ascii="宋体" w:hAnsi="宋体" w:eastAsia="宋体" w:cs="宋体"/>
                <w:bCs/>
                <w:color w:val="auto"/>
                <w:kern w:val="0"/>
                <w:sz w:val="24"/>
                <w:highlight w:val="none"/>
                <w:lang w:eastAsia="zh-CN"/>
              </w:rPr>
              <w:t>）中国政府采购网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hint="default" w:ascii="宋体" w:hAnsi="宋体" w:eastAsia="宋体" w:cs="宋体"/>
                <w:kern w:val="0"/>
                <w:sz w:val="24"/>
                <w:lang w:val="en-US" w:eastAsia="zh-CN"/>
              </w:rPr>
            </w:pPr>
            <w:r>
              <w:rPr>
                <w:rFonts w:hint="eastAsia" w:ascii="宋体" w:hAnsi="宋体" w:cs="宋体"/>
                <w:kern w:val="0"/>
                <w:sz w:val="24"/>
                <w:lang w:val="en-US" w:eastAsia="zh-CN"/>
              </w:rPr>
              <w:t>14</w:t>
            </w:r>
          </w:p>
        </w:tc>
        <w:tc>
          <w:tcPr>
            <w:tcW w:w="203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440" w:lineRule="exact"/>
              <w:jc w:val="center"/>
              <w:textAlignment w:val="auto"/>
              <w:rPr>
                <w:rFonts w:ascii="宋体" w:hAnsi="宋体" w:cs="宋体"/>
                <w:kern w:val="0"/>
                <w:sz w:val="24"/>
              </w:rPr>
            </w:pPr>
            <w:r>
              <w:rPr>
                <w:rFonts w:hint="eastAsia" w:ascii="宋体" w:hAnsi="宋体" w:cs="宋体"/>
                <w:b/>
                <w:sz w:val="24"/>
              </w:rPr>
              <w:t>投标保证金</w:t>
            </w:r>
          </w:p>
        </w:tc>
        <w:tc>
          <w:tcPr>
            <w:tcW w:w="67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440" w:lineRule="exact"/>
              <w:ind w:firstLine="480" w:firstLineChars="200"/>
              <w:textAlignment w:val="auto"/>
              <w:rPr>
                <w:rFonts w:ascii="宋体" w:cs="宋体"/>
                <w:b/>
                <w:sz w:val="24"/>
              </w:rPr>
            </w:pPr>
            <w:r>
              <w:rPr>
                <w:rFonts w:hint="eastAsia" w:ascii="宋体" w:hAnsi="宋体" w:cs="宋体"/>
                <w:color w:val="auto"/>
                <w:sz w:val="24"/>
              </w:rPr>
              <w:t>本批招标投标保证金</w:t>
            </w:r>
            <w:r>
              <w:rPr>
                <w:rFonts w:hint="eastAsia" w:ascii="宋体" w:hAnsi="宋体" w:cs="宋体"/>
                <w:bCs/>
                <w:color w:val="auto"/>
                <w:sz w:val="24"/>
              </w:rPr>
              <w:t>为</w:t>
            </w:r>
            <w:r>
              <w:rPr>
                <w:rFonts w:hint="eastAsia" w:ascii="宋体" w:hAnsi="宋体" w:cs="宋体"/>
                <w:bCs/>
                <w:color w:val="auto"/>
                <w:kern w:val="0"/>
                <w:sz w:val="24"/>
              </w:rPr>
              <w:t>人民币</w:t>
            </w:r>
            <w:r>
              <w:rPr>
                <w:rFonts w:hint="eastAsia" w:ascii="宋体" w:hAnsi="宋体" w:cs="宋体"/>
                <w:bCs/>
                <w:color w:val="auto"/>
                <w:kern w:val="0"/>
                <w:sz w:val="24"/>
                <w:lang w:eastAsia="zh-CN"/>
              </w:rPr>
              <w:t>叁仟伍佰</w:t>
            </w:r>
            <w:r>
              <w:rPr>
                <w:rFonts w:hint="eastAsia" w:ascii="宋体" w:hAnsi="宋体" w:cs="宋体"/>
                <w:bCs/>
                <w:color w:val="auto"/>
                <w:kern w:val="0"/>
                <w:sz w:val="24"/>
              </w:rPr>
              <w:t>元整</w:t>
            </w:r>
            <w:r>
              <w:rPr>
                <w:rFonts w:ascii="宋体" w:hAnsi="宋体" w:cs="宋体"/>
                <w:bCs/>
                <w:color w:val="auto"/>
                <w:kern w:val="0"/>
                <w:sz w:val="24"/>
              </w:rPr>
              <w:t>(</w:t>
            </w:r>
            <w:r>
              <w:rPr>
                <w:rFonts w:hint="eastAsia" w:ascii="宋体" w:cs="宋体"/>
                <w:bCs/>
                <w:color w:val="auto"/>
                <w:kern w:val="0"/>
                <w:sz w:val="24"/>
              </w:rPr>
              <w:t>¥</w:t>
            </w:r>
            <w:r>
              <w:rPr>
                <w:rFonts w:hint="eastAsia" w:ascii="宋体" w:hAnsi="宋体" w:cs="宋体"/>
                <w:bCs/>
                <w:color w:val="auto"/>
                <w:kern w:val="0"/>
                <w:sz w:val="24"/>
                <w:lang w:val="en-US" w:eastAsia="zh-CN"/>
              </w:rPr>
              <w:t>3500</w:t>
            </w:r>
            <w:r>
              <w:rPr>
                <w:rFonts w:hint="eastAsia" w:ascii="宋体" w:hAnsi="宋体" w:cs="宋体"/>
                <w:bCs/>
                <w:color w:val="auto"/>
                <w:kern w:val="0"/>
                <w:sz w:val="24"/>
              </w:rPr>
              <w:t>元</w:t>
            </w:r>
            <w:r>
              <w:rPr>
                <w:rFonts w:ascii="宋体" w:hAnsi="宋体" w:cs="宋体"/>
                <w:bCs/>
                <w:color w:val="auto"/>
                <w:kern w:val="0"/>
                <w:sz w:val="24"/>
              </w:rPr>
              <w:t>)</w:t>
            </w:r>
            <w:r>
              <w:rPr>
                <w:rFonts w:hint="eastAsia" w:ascii="宋体" w:hAnsi="宋体" w:cs="宋体"/>
                <w:bCs/>
                <w:color w:val="auto"/>
                <w:kern w:val="0"/>
                <w:sz w:val="24"/>
              </w:rPr>
              <w:t>，</w:t>
            </w:r>
            <w:r>
              <w:rPr>
                <w:rFonts w:hint="eastAsia" w:ascii="宋体" w:hAnsi="宋体" w:cs="宋体"/>
                <w:color w:val="auto"/>
                <w:sz w:val="24"/>
              </w:rPr>
              <w:t>保证金必须以</w:t>
            </w:r>
            <w:r>
              <w:rPr>
                <w:rFonts w:hint="eastAsia" w:ascii="宋体" w:hAnsi="宋体" w:cs="宋体"/>
                <w:b/>
                <w:color w:val="auto"/>
                <w:sz w:val="24"/>
              </w:rPr>
              <w:t>投标人银行帐户公对公</w:t>
            </w:r>
            <w:r>
              <w:rPr>
                <w:rFonts w:hint="eastAsia" w:ascii="宋体" w:hAnsi="宋体" w:cs="宋体"/>
                <w:color w:val="auto"/>
                <w:sz w:val="24"/>
              </w:rPr>
              <w:t>转账至（开户名</w:t>
            </w:r>
            <w:r>
              <w:rPr>
                <w:rFonts w:ascii="宋体" w:hAnsi="宋体" w:cs="宋体"/>
                <w:color w:val="auto"/>
                <w:sz w:val="24"/>
              </w:rPr>
              <w:t>—</w:t>
            </w:r>
            <w:r>
              <w:rPr>
                <w:rFonts w:hint="eastAsia" w:ascii="宋体" w:hAnsi="宋体" w:cs="宋体"/>
                <w:color w:val="auto"/>
                <w:sz w:val="24"/>
              </w:rPr>
              <w:t>莆田市信成造价咨询有限公司，开户行</w:t>
            </w:r>
            <w:r>
              <w:rPr>
                <w:rFonts w:ascii="宋体" w:hAnsi="宋体" w:cs="宋体"/>
                <w:color w:val="auto"/>
                <w:sz w:val="24"/>
              </w:rPr>
              <w:t>—</w:t>
            </w:r>
            <w:r>
              <w:rPr>
                <w:rFonts w:hint="eastAsia" w:ascii="宋体" w:hAnsi="宋体" w:cs="宋体"/>
                <w:color w:val="auto"/>
                <w:sz w:val="24"/>
              </w:rPr>
              <w:t>中国光大银行莆田城厢支行</w:t>
            </w:r>
            <w:r>
              <w:rPr>
                <w:rFonts w:ascii="宋体" w:cs="宋体"/>
                <w:color w:val="auto"/>
                <w:sz w:val="24"/>
              </w:rPr>
              <w:t>,</w:t>
            </w:r>
            <w:r>
              <w:rPr>
                <w:rFonts w:hint="eastAsia" w:ascii="宋体" w:hAnsi="宋体" w:cs="宋体"/>
                <w:color w:val="auto"/>
                <w:sz w:val="24"/>
              </w:rPr>
              <w:t>帐号</w:t>
            </w:r>
            <w:r>
              <w:rPr>
                <w:rFonts w:ascii="宋体" w:hAnsi="宋体" w:cs="宋体"/>
                <w:color w:val="auto"/>
                <w:sz w:val="24"/>
              </w:rPr>
              <w:t>—54730188000000408),</w:t>
            </w:r>
            <w:r>
              <w:rPr>
                <w:rFonts w:hint="eastAsia" w:ascii="宋体" w:hAnsi="宋体" w:cs="宋体"/>
                <w:color w:val="auto"/>
                <w:sz w:val="24"/>
              </w:rPr>
              <w:t>以款到账户为准，不接受汇票。投标人在缴纳保证金时必须以公司的账户缴纳，</w:t>
            </w:r>
            <w:r>
              <w:rPr>
                <w:rFonts w:hint="eastAsia" w:ascii="宋体" w:hAnsi="宋体" w:cs="宋体"/>
                <w:sz w:val="24"/>
              </w:rPr>
              <w:t>不得以投标代表个人的名称缴纳。</w:t>
            </w:r>
            <w:r>
              <w:rPr>
                <w:rFonts w:hint="eastAsia" w:ascii="宋体" w:hAnsi="宋体" w:cs="宋体"/>
                <w:b/>
                <w:sz w:val="24"/>
              </w:rPr>
              <w:t>保证金未按规定时间到账或提交投标保证金的汇款人名称与投标供应商名称不一致的，其投标将被拒绝。</w:t>
            </w:r>
          </w:p>
          <w:p>
            <w:pPr>
              <w:keepNext w:val="0"/>
              <w:keepLines w:val="0"/>
              <w:pageBreakBefore w:val="0"/>
              <w:widowControl/>
              <w:kinsoku/>
              <w:overflowPunct/>
              <w:topLinePunct w:val="0"/>
              <w:autoSpaceDE/>
              <w:autoSpaceDN/>
              <w:bidi w:val="0"/>
              <w:adjustRightInd/>
              <w:snapToGrid/>
              <w:spacing w:beforeAutospacing="0" w:afterAutospacing="0" w:line="440" w:lineRule="exact"/>
              <w:jc w:val="left"/>
              <w:textAlignment w:val="auto"/>
              <w:rPr>
                <w:rFonts w:ascii="宋体" w:hAnsi="宋体" w:cs="宋体"/>
                <w:kern w:val="0"/>
                <w:sz w:val="24"/>
              </w:rPr>
            </w:pPr>
            <w:r>
              <w:rPr>
                <w:rFonts w:hint="eastAsia" w:ascii="宋体" w:hAnsi="宋体" w:cs="宋体"/>
                <w:b/>
                <w:sz w:val="24"/>
              </w:rPr>
              <w:t>注：投标保证金转账时请注明所投项目的项目编号。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440" w:lineRule="exact"/>
              <w:jc w:val="center"/>
              <w:textAlignment w:val="auto"/>
              <w:rPr>
                <w:rFonts w:hint="eastAsia" w:ascii="宋体" w:hAnsi="宋体" w:eastAsia="宋体" w:cs="宋体"/>
                <w:kern w:val="0"/>
                <w:sz w:val="24"/>
                <w:szCs w:val="24"/>
                <w:lang w:val="en-US" w:eastAsia="zh-CN" w:bidi="ar-SA"/>
              </w:rPr>
            </w:pPr>
            <w:r>
              <w:rPr>
                <w:rFonts w:ascii="宋体" w:hAnsi="宋体" w:cs="宋体"/>
                <w:kern w:val="0"/>
                <w:sz w:val="24"/>
              </w:rPr>
              <w:t>1</w:t>
            </w:r>
            <w:r>
              <w:rPr>
                <w:rFonts w:hint="eastAsia" w:ascii="宋体" w:hAnsi="宋体" w:cs="宋体"/>
                <w:kern w:val="0"/>
                <w:sz w:val="24"/>
                <w:lang w:val="en-US" w:eastAsia="zh-CN"/>
              </w:rPr>
              <w:t>5</w:t>
            </w:r>
          </w:p>
        </w:tc>
        <w:tc>
          <w:tcPr>
            <w:tcW w:w="203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440" w:lineRule="exact"/>
              <w:jc w:val="center"/>
              <w:textAlignment w:val="auto"/>
              <w:rPr>
                <w:rFonts w:ascii="宋体" w:hAnsi="宋体" w:eastAsia="宋体" w:cs="宋体"/>
                <w:kern w:val="0"/>
                <w:sz w:val="24"/>
                <w:szCs w:val="24"/>
                <w:lang w:val="en-US" w:eastAsia="zh-CN" w:bidi="ar-SA"/>
              </w:rPr>
            </w:pPr>
            <w:r>
              <w:rPr>
                <w:rFonts w:hint="eastAsia" w:ascii="宋体" w:hAnsi="宋体" w:cs="宋体"/>
                <w:b/>
                <w:sz w:val="24"/>
              </w:rPr>
              <w:t>招标服务费</w:t>
            </w:r>
          </w:p>
        </w:tc>
        <w:tc>
          <w:tcPr>
            <w:tcW w:w="674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b/>
                <w:color w:val="auto"/>
                <w:sz w:val="24"/>
              </w:rPr>
            </w:pPr>
            <w:r>
              <w:rPr>
                <w:rFonts w:hint="eastAsia" w:ascii="宋体" w:hAnsi="宋体" w:cs="宋体"/>
                <w:b/>
                <w:color w:val="auto"/>
                <w:sz w:val="24"/>
              </w:rPr>
              <w:t>招标服务费：</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440" w:lineRule="exact"/>
              <w:textAlignment w:val="auto"/>
              <w:rPr>
                <w:rFonts w:ascii="宋体" w:cs="宋体"/>
                <w:bCs/>
                <w:color w:val="auto"/>
                <w:sz w:val="24"/>
              </w:rPr>
            </w:pPr>
            <w:r>
              <w:rPr>
                <w:rFonts w:hint="eastAsia" w:ascii="宋体" w:hAnsi="宋体" w:eastAsia="宋体" w:cs="宋体"/>
                <w:bCs/>
                <w:color w:val="auto"/>
                <w:kern w:val="0"/>
                <w:sz w:val="24"/>
              </w:rPr>
              <w:t>①</w:t>
            </w:r>
            <w:r>
              <w:rPr>
                <w:rFonts w:hint="eastAsia" w:ascii="宋体" w:hAnsi="宋体" w:cs="宋体"/>
                <w:bCs/>
                <w:color w:val="auto"/>
                <w:kern w:val="0"/>
                <w:sz w:val="24"/>
              </w:rPr>
              <w:t>招标服务费由中标人支付，</w:t>
            </w:r>
            <w:r>
              <w:rPr>
                <w:rFonts w:hint="eastAsia" w:ascii="宋体" w:hAnsi="宋体" w:eastAsia="宋体" w:cs="宋体"/>
                <w:color w:val="FF0000"/>
                <w:spacing w:val="0"/>
                <w:sz w:val="24"/>
                <w:szCs w:val="24"/>
              </w:rPr>
              <w:t>招标代理服务费按</w:t>
            </w:r>
            <w:r>
              <w:rPr>
                <w:rFonts w:hint="eastAsia" w:ascii="宋体" w:hAnsi="宋体" w:cs="宋体"/>
                <w:color w:val="FF0000"/>
                <w:spacing w:val="0"/>
                <w:sz w:val="24"/>
                <w:szCs w:val="24"/>
                <w:lang w:eastAsia="zh-CN"/>
              </w:rPr>
              <w:t>包干</w:t>
            </w:r>
            <w:r>
              <w:rPr>
                <w:rFonts w:hint="eastAsia" w:ascii="宋体" w:hAnsi="宋体" w:cs="宋体"/>
                <w:color w:val="FF0000"/>
                <w:spacing w:val="0"/>
                <w:sz w:val="24"/>
                <w:szCs w:val="24"/>
                <w:lang w:val="en-US" w:eastAsia="zh-CN"/>
              </w:rPr>
              <w:t>4000元收</w:t>
            </w:r>
            <w:r>
              <w:rPr>
                <w:rFonts w:hint="eastAsia" w:ascii="宋体" w:hAnsi="宋体" w:cs="宋体"/>
                <w:spacing w:val="0"/>
                <w:sz w:val="24"/>
                <w:szCs w:val="24"/>
                <w:lang w:val="en-US" w:eastAsia="zh-CN"/>
              </w:rPr>
              <w:t>取</w:t>
            </w:r>
            <w:r>
              <w:rPr>
                <w:rFonts w:hint="eastAsia" w:ascii="宋体" w:hAnsi="宋体" w:cs="宋体"/>
                <w:bCs/>
                <w:color w:val="auto"/>
                <w:kern w:val="0"/>
                <w:sz w:val="24"/>
              </w:rPr>
              <w:t>。</w:t>
            </w:r>
          </w:p>
          <w:p>
            <w:pPr>
              <w:keepNext w:val="0"/>
              <w:keepLines w:val="0"/>
              <w:pageBreakBefore w:val="0"/>
              <w:kinsoku/>
              <w:overflowPunct/>
              <w:topLinePunct w:val="0"/>
              <w:autoSpaceDE/>
              <w:autoSpaceDN/>
              <w:bidi w:val="0"/>
              <w:adjustRightInd/>
              <w:snapToGrid/>
              <w:spacing w:beforeAutospacing="0" w:afterAutospacing="0" w:line="440" w:lineRule="exact"/>
              <w:textAlignment w:val="auto"/>
              <w:rPr>
                <w:rFonts w:ascii="宋体" w:hAnsi="宋体" w:eastAsia="宋体" w:cs="宋体"/>
                <w:kern w:val="0"/>
                <w:sz w:val="24"/>
                <w:szCs w:val="24"/>
                <w:lang w:val="en-US" w:eastAsia="zh-CN" w:bidi="ar-SA"/>
              </w:rPr>
            </w:pPr>
            <w:r>
              <w:rPr>
                <w:rFonts w:hint="eastAsia" w:ascii="宋体" w:hAnsi="宋体" w:eastAsia="宋体" w:cs="宋体"/>
                <w:bCs/>
                <w:color w:val="auto"/>
                <w:kern w:val="0"/>
                <w:sz w:val="24"/>
              </w:rPr>
              <w:t>②</w:t>
            </w:r>
            <w:r>
              <w:rPr>
                <w:rFonts w:hint="eastAsia" w:ascii="宋体" w:hAnsi="宋体" w:cs="宋体"/>
                <w:bCs/>
                <w:color w:val="auto"/>
                <w:kern w:val="0"/>
                <w:sz w:val="24"/>
              </w:rPr>
              <w:t>招标服务费缴纳账户：开户名</w:t>
            </w:r>
            <w:r>
              <w:rPr>
                <w:rFonts w:ascii="宋体" w:hAnsi="宋体" w:cs="宋体"/>
                <w:bCs/>
                <w:color w:val="auto"/>
                <w:kern w:val="0"/>
                <w:sz w:val="24"/>
              </w:rPr>
              <w:t>--</w:t>
            </w:r>
            <w:r>
              <w:rPr>
                <w:rFonts w:hint="eastAsia" w:ascii="宋体" w:hAnsi="宋体" w:cs="宋体"/>
                <w:bCs/>
                <w:color w:val="auto"/>
                <w:kern w:val="0"/>
                <w:sz w:val="24"/>
              </w:rPr>
              <w:t>莆田市信成造价咨询有限公司，开户行</w:t>
            </w:r>
            <w:r>
              <w:rPr>
                <w:rFonts w:ascii="宋体" w:hAnsi="宋体" w:cs="宋体"/>
                <w:bCs/>
                <w:color w:val="auto"/>
                <w:kern w:val="0"/>
                <w:sz w:val="24"/>
              </w:rPr>
              <w:t>—</w:t>
            </w:r>
            <w:r>
              <w:rPr>
                <w:rFonts w:hint="eastAsia" w:ascii="宋体" w:hAnsi="宋体" w:cs="宋体"/>
                <w:bCs/>
                <w:color w:val="auto"/>
                <w:kern w:val="0"/>
                <w:sz w:val="24"/>
              </w:rPr>
              <w:t>中国光大银行莆田分行，账号</w:t>
            </w:r>
            <w:r>
              <w:rPr>
                <w:rFonts w:ascii="宋体" w:hAnsi="宋体" w:cs="宋体"/>
                <w:bCs/>
                <w:color w:val="auto"/>
                <w:kern w:val="0"/>
                <w:sz w:val="24"/>
              </w:rPr>
              <w:t>-- 79880188000047251</w:t>
            </w:r>
            <w:r>
              <w:rPr>
                <w:rFonts w:hint="eastAsia" w:ascii="宋体" w:hAnsi="宋体" w:cs="宋体"/>
                <w:bCs/>
                <w:color w:val="auto"/>
                <w:kern w:val="0"/>
                <w:sz w:val="24"/>
              </w:rPr>
              <w:t>。</w:t>
            </w:r>
          </w:p>
        </w:tc>
      </w:tr>
    </w:tbl>
    <w:p>
      <w:pPr>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vanish/>
          <w:color w:val="auto"/>
        </w:rPr>
      </w:pPr>
    </w:p>
    <w:p>
      <w:pPr>
        <w:keepNext w:val="0"/>
        <w:keepLines w:val="0"/>
        <w:pageBreakBefore w:val="0"/>
        <w:widowControl/>
        <w:kinsoku/>
        <w:wordWrap/>
        <w:overflowPunct/>
        <w:topLinePunct w:val="0"/>
        <w:autoSpaceDE/>
        <w:autoSpaceDN/>
        <w:bidi w:val="0"/>
        <w:snapToGrid/>
        <w:spacing w:beforeAutospacing="0" w:afterAutospacing="0" w:line="440" w:lineRule="exact"/>
        <w:textAlignment w:val="auto"/>
        <w:rPr>
          <w:rFonts w:ascii="宋体" w:cs="宋体"/>
          <w:b/>
          <w:bCs/>
          <w:color w:val="auto"/>
          <w:kern w:val="0"/>
          <w:sz w:val="32"/>
        </w:rPr>
      </w:pPr>
    </w:p>
    <w:p>
      <w:pPr>
        <w:pStyle w:val="27"/>
        <w:keepNext w:val="0"/>
        <w:keepLines w:val="0"/>
        <w:pageBreakBefore w:val="0"/>
        <w:kinsoku/>
        <w:wordWrap/>
        <w:overflowPunct/>
        <w:topLinePunct w:val="0"/>
        <w:autoSpaceDE/>
        <w:autoSpaceDN/>
        <w:bidi w:val="0"/>
        <w:snapToGrid/>
        <w:spacing w:before="0" w:beforeAutospacing="0" w:after="0" w:afterAutospacing="0" w:line="440" w:lineRule="exact"/>
        <w:ind w:firstLine="31680"/>
        <w:textAlignment w:val="auto"/>
        <w:rPr>
          <w:color w:val="auto"/>
        </w:rPr>
      </w:pPr>
    </w:p>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b/>
          <w:bCs/>
          <w:color w:val="auto"/>
          <w:kern w:val="0"/>
          <w:sz w:val="32"/>
        </w:rPr>
        <w:t>第三章</w:t>
      </w:r>
      <w:r>
        <w:rPr>
          <w:rFonts w:ascii="宋体" w:cs="宋体"/>
          <w:b/>
          <w:bCs/>
          <w:color w:val="auto"/>
          <w:kern w:val="0"/>
          <w:sz w:val="32"/>
        </w:rPr>
        <w:t>   </w:t>
      </w:r>
      <w:r>
        <w:rPr>
          <w:rFonts w:hint="eastAsia" w:ascii="宋体" w:hAnsi="宋体" w:cs="宋体"/>
          <w:b/>
          <w:bCs/>
          <w:color w:val="auto"/>
          <w:kern w:val="0"/>
          <w:sz w:val="32"/>
        </w:rPr>
        <w:t>投标人须知</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cs="宋体"/>
          <w:color w:val="auto"/>
          <w:kern w:val="0"/>
          <w:sz w:val="24"/>
        </w:rPr>
        <w:t> </w:t>
      </w:r>
    </w:p>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b/>
          <w:bCs/>
          <w:color w:val="auto"/>
          <w:kern w:val="0"/>
          <w:sz w:val="24"/>
        </w:rPr>
        <w:t>一、总则</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、适用范围</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1.1</w:t>
      </w:r>
      <w:r>
        <w:rPr>
          <w:rFonts w:hint="eastAsia" w:ascii="宋体" w:hAnsi="宋体" w:cs="宋体"/>
          <w:color w:val="auto"/>
          <w:kern w:val="0"/>
          <w:sz w:val="24"/>
        </w:rPr>
        <w:t>适用于招标文件载明项目的政府采购活动（以下简称：“本次采购活动”）。</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、定义</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2.1</w:t>
      </w:r>
      <w:r>
        <w:rPr>
          <w:rFonts w:hint="eastAsia" w:ascii="宋体" w:hAnsi="宋体" w:cs="宋体"/>
          <w:color w:val="auto"/>
          <w:kern w:val="0"/>
          <w:sz w:val="24"/>
        </w:rPr>
        <w:t>“采购标的”指招标文件载明的需要采购的货物或服务。</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2.2</w:t>
      </w:r>
      <w:r>
        <w:rPr>
          <w:rFonts w:hint="eastAsia" w:ascii="宋体" w:hAnsi="宋体" w:cs="宋体"/>
          <w:color w:val="auto"/>
          <w:kern w:val="0"/>
          <w:sz w:val="24"/>
        </w:rPr>
        <w:t>“潜在投标人”指按照招标文件第一章第</w:t>
      </w:r>
      <w:r>
        <w:rPr>
          <w:rFonts w:ascii="宋体" w:hAnsi="宋体" w:cs="宋体"/>
          <w:color w:val="auto"/>
          <w:kern w:val="0"/>
          <w:sz w:val="24"/>
        </w:rPr>
        <w:t>5</w:t>
      </w:r>
      <w:r>
        <w:rPr>
          <w:rFonts w:hint="eastAsia" w:ascii="宋体" w:hAnsi="宋体" w:cs="宋体"/>
          <w:color w:val="auto"/>
          <w:kern w:val="0"/>
          <w:sz w:val="24"/>
        </w:rPr>
        <w:t>条规定进行报名且有意向参加本项目投标的供应商。</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2.3</w:t>
      </w:r>
      <w:r>
        <w:rPr>
          <w:rFonts w:hint="eastAsia" w:ascii="宋体" w:hAnsi="宋体" w:cs="宋体"/>
          <w:color w:val="auto"/>
          <w:kern w:val="0"/>
          <w:sz w:val="24"/>
        </w:rPr>
        <w:t>“投标人”指按照招标文件第一章第</w:t>
      </w:r>
      <w:r>
        <w:rPr>
          <w:rFonts w:ascii="宋体" w:hAnsi="宋体" w:cs="宋体"/>
          <w:color w:val="auto"/>
          <w:kern w:val="0"/>
          <w:sz w:val="24"/>
        </w:rPr>
        <w:t>5</w:t>
      </w:r>
      <w:r>
        <w:rPr>
          <w:rFonts w:hint="eastAsia" w:ascii="宋体" w:hAnsi="宋体" w:cs="宋体"/>
          <w:color w:val="auto"/>
          <w:kern w:val="0"/>
          <w:sz w:val="24"/>
        </w:rPr>
        <w:t>条规定进行报名并参加本项目投标的供应商。</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2.4</w:t>
      </w:r>
      <w:r>
        <w:rPr>
          <w:rFonts w:hint="eastAsia" w:ascii="宋体" w:hAnsi="宋体" w:cs="宋体"/>
          <w:color w:val="auto"/>
          <w:kern w:val="0"/>
          <w:sz w:val="24"/>
        </w:rPr>
        <w:t>“投标人代表”指投标人的单位法定代表人或“单位法定代表人授权书”中载明的接受授权方。</w:t>
      </w:r>
    </w:p>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b/>
          <w:bCs/>
          <w:color w:val="auto"/>
          <w:kern w:val="0"/>
          <w:sz w:val="24"/>
        </w:rPr>
      </w:pPr>
    </w:p>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b/>
          <w:bCs/>
          <w:color w:val="auto"/>
          <w:kern w:val="0"/>
          <w:sz w:val="24"/>
        </w:rPr>
        <w:t>二、投标人</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、合格投标人</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3.1</w:t>
      </w:r>
      <w:r>
        <w:rPr>
          <w:rFonts w:hint="eastAsia" w:ascii="宋体" w:hAnsi="宋体" w:cs="宋体"/>
          <w:color w:val="auto"/>
          <w:kern w:val="0"/>
          <w:sz w:val="24"/>
        </w:rPr>
        <w:t>一般规定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）投标人应遵守政府采购法及实施条例、政府采购招投标管理办法及财政部、福建省财政厅有关政府采购文件的规定，同时还应遵守有关法律、法规和规章的强制性规定。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）投标人的资格要求：详见招标文件第二章。</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3.2</w:t>
      </w:r>
      <w:r>
        <w:rPr>
          <w:rFonts w:hint="eastAsia" w:ascii="宋体" w:hAnsi="宋体" w:cs="宋体"/>
          <w:color w:val="auto"/>
          <w:kern w:val="0"/>
          <w:sz w:val="24"/>
        </w:rPr>
        <w:t>若本项目接受联合体投标且投标人为联合体，则联合体各方应遵守本章第</w:t>
      </w:r>
      <w:r>
        <w:rPr>
          <w:rFonts w:ascii="宋体" w:hAnsi="宋体" w:cs="宋体"/>
          <w:color w:val="auto"/>
          <w:kern w:val="0"/>
          <w:sz w:val="24"/>
        </w:rPr>
        <w:t>3.1</w:t>
      </w:r>
      <w:r>
        <w:rPr>
          <w:rFonts w:hint="eastAsia" w:ascii="宋体" w:hAnsi="宋体" w:cs="宋体"/>
          <w:color w:val="auto"/>
          <w:kern w:val="0"/>
          <w:sz w:val="24"/>
        </w:rPr>
        <w:t>条规定，同时还应遵守下列规定：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）联合体各方应提交联合体协议，联合体协议应符合招标文件规定。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）联合体各方不得再单独参加或与其他供应商另外组成联合体参加同一合同项下的投标。</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）联合体各方应共同与采购人签订政府采购合同，就政府采购合同约定的事项对采购人承担连带责任。</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、投标费用</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4.1</w:t>
      </w:r>
      <w:r>
        <w:rPr>
          <w:rFonts w:hint="eastAsia" w:ascii="宋体" w:hAnsi="宋体" w:cs="宋体"/>
          <w:color w:val="auto"/>
          <w:kern w:val="0"/>
          <w:sz w:val="24"/>
        </w:rPr>
        <w:t>除招标文件另有规定外，投标人应自行承担其参加本项目投标所涉及的一切费用。</w:t>
      </w: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三、招标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5</w:t>
      </w:r>
      <w:r>
        <w:rPr>
          <w:rFonts w:hint="eastAsia" w:ascii="宋体" w:hAnsi="宋体" w:cs="宋体"/>
          <w:color w:val="auto"/>
        </w:rPr>
        <w:t>、招标文件</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5.1</w:t>
      </w:r>
      <w:r>
        <w:rPr>
          <w:rFonts w:hint="eastAsia" w:ascii="宋体" w:hAnsi="宋体" w:cs="宋体"/>
          <w:color w:val="auto"/>
        </w:rPr>
        <w:t>招标文件由下述部分组成：</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）投标邀请</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）投标人须知前附表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）投标人须知</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）资格审查与评标</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）招标内容及要求</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）采购合同（参考文本）</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）投标文件格式</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）按照招标文件规定作为招标文件组成部分的其他内容（若有）</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5.2</w:t>
      </w:r>
      <w:r>
        <w:rPr>
          <w:rFonts w:hint="eastAsia" w:ascii="宋体" w:hAnsi="宋体" w:cs="宋体"/>
          <w:color w:val="auto"/>
        </w:rPr>
        <w:t>招标文件的澄清或修改</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）莆田市信成造价咨询有限公司可对已发出的招标文件进行必要的澄清或修改，但不得对招标文件载明的采购标的和投标人的资格要求进行改变。</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）除本章第</w:t>
      </w:r>
      <w:r>
        <w:rPr>
          <w:rFonts w:ascii="宋体" w:hAnsi="宋体" w:cs="宋体"/>
          <w:color w:val="auto"/>
        </w:rPr>
        <w:t>5.2</w:t>
      </w:r>
      <w:r>
        <w:rPr>
          <w:rFonts w:hint="eastAsia" w:ascii="宋体" w:hAnsi="宋体" w:cs="宋体"/>
          <w:color w:val="auto"/>
        </w:rPr>
        <w:t>条第（</w:t>
      </w:r>
      <w:r>
        <w:rPr>
          <w:rFonts w:ascii="宋体" w:hAnsi="宋体" w:cs="宋体"/>
          <w:color w:val="auto"/>
        </w:rPr>
        <w:t>3</w:t>
      </w:r>
      <w:r>
        <w:rPr>
          <w:rFonts w:hint="eastAsia" w:ascii="宋体" w:hAnsi="宋体" w:cs="宋体"/>
          <w:color w:val="auto"/>
        </w:rPr>
        <w:t>）款规定情形外，澄清或修改的内容可能影响投标文件编制的，莆田市信成造价咨询有限公司将在投标截止时间至少</w:t>
      </w:r>
      <w:r>
        <w:rPr>
          <w:rFonts w:ascii="宋体" w:hAnsi="宋体" w:cs="宋体"/>
          <w:color w:val="auto"/>
        </w:rPr>
        <w:t>15</w:t>
      </w:r>
      <w:r>
        <w:rPr>
          <w:rFonts w:hint="eastAsia" w:ascii="宋体" w:hAnsi="宋体" w:cs="宋体"/>
          <w:color w:val="auto"/>
        </w:rPr>
        <w:t>个日历日前，在招标文件载明的指定媒体以更正公告的形式发布澄清或修改的内容。不足</w:t>
      </w:r>
      <w:r>
        <w:rPr>
          <w:rFonts w:ascii="宋体" w:hAnsi="宋体" w:cs="宋体"/>
          <w:color w:val="auto"/>
        </w:rPr>
        <w:t>15</w:t>
      </w:r>
      <w:r>
        <w:rPr>
          <w:rFonts w:hint="eastAsia" w:ascii="宋体" w:hAnsi="宋体" w:cs="宋体"/>
          <w:color w:val="auto"/>
        </w:rPr>
        <w:t>个日历日的，莆田市信成造价咨询有限公司将顺延投标截止时间及开标时间，莆田市信成造价咨询有限公司和投标人受原投标截止时间及开标时间制约的所有权利和义务均延长至新的投标截止时间及开标时间。</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）澄清或修改的内容可能改变招标文件载明的采购标的和投标人的资格要求的，本次采购活动结束，莆田市信成造价咨询有限公司将依法组织后续采购活动（包括但不限于：重新招标、采用其他方式采购等）。</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6</w:t>
      </w:r>
      <w:r>
        <w:rPr>
          <w:rFonts w:hint="eastAsia" w:ascii="宋体" w:hAnsi="宋体" w:cs="宋体"/>
          <w:color w:val="auto"/>
        </w:rPr>
        <w:t>、现场考察或开标前答疑会</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6.1</w:t>
      </w:r>
      <w:r>
        <w:rPr>
          <w:rFonts w:hint="eastAsia" w:ascii="宋体" w:hAnsi="宋体" w:cs="宋体"/>
          <w:color w:val="auto"/>
        </w:rPr>
        <w:t>是否组织现场考察：详见招标文件第二章。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7</w:t>
      </w:r>
      <w:r>
        <w:rPr>
          <w:rFonts w:hint="eastAsia" w:ascii="宋体" w:hAnsi="宋体" w:cs="宋体"/>
          <w:color w:val="auto"/>
        </w:rPr>
        <w:t>、更正公告</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7.1</w:t>
      </w:r>
      <w:r>
        <w:rPr>
          <w:rFonts w:hint="eastAsia" w:ascii="宋体" w:hAnsi="宋体" w:cs="宋体"/>
          <w:color w:val="auto"/>
        </w:rPr>
        <w:t>若莆田市信成造价咨询有限公司发布更正公告，则更正公告及其所发布的内容或信息（包括但不限于：招标文件的澄清或修改、现场考察或答疑会的有关事宜等）</w:t>
      </w:r>
      <w:r>
        <w:rPr>
          <w:rStyle w:val="20"/>
          <w:rFonts w:hint="eastAsia" w:ascii="宋体" w:hAnsi="宋体" w:cs="宋体"/>
          <w:color w:val="auto"/>
        </w:rPr>
        <w:t>作为招标文件组成部分</w:t>
      </w:r>
      <w:r>
        <w:rPr>
          <w:rFonts w:hint="eastAsia" w:ascii="宋体" w:hAnsi="宋体" w:cs="宋体"/>
          <w:color w:val="auto"/>
        </w:rPr>
        <w:t>，对投标人具有约束力。</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7.2</w:t>
      </w:r>
      <w:r>
        <w:rPr>
          <w:rFonts w:hint="eastAsia" w:ascii="宋体" w:hAnsi="宋体" w:cs="宋体"/>
          <w:color w:val="auto"/>
        </w:rPr>
        <w:t>更正公告作为莆田市信成造价咨询有限公司通知所有潜在投标人的书面形式。</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8</w:t>
      </w:r>
      <w:r>
        <w:rPr>
          <w:rFonts w:hint="eastAsia" w:ascii="宋体" w:hAnsi="宋体" w:cs="宋体"/>
          <w:color w:val="auto"/>
        </w:rPr>
        <w:t>、终止公告</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8.1</w:t>
      </w:r>
      <w:r>
        <w:rPr>
          <w:rFonts w:hint="eastAsia" w:ascii="宋体" w:hAnsi="宋体" w:cs="宋体"/>
          <w:color w:val="auto"/>
        </w:rPr>
        <w:t>若出现因重大变故导致采购任务取消情形，莆田市信成造价咨询有限公司可终止招标并发布终止公告。</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b/>
          <w:color w:val="auto"/>
          <w:kern w:val="0"/>
          <w:sz w:val="28"/>
          <w:szCs w:val="28"/>
        </w:rPr>
      </w:pPr>
      <w:r>
        <w:rPr>
          <w:rFonts w:ascii="宋体" w:hAnsi="宋体" w:cs="宋体"/>
          <w:color w:val="auto"/>
        </w:rPr>
        <w:t>8.2</w:t>
      </w:r>
      <w:r>
        <w:rPr>
          <w:rFonts w:hint="eastAsia" w:ascii="宋体" w:hAnsi="宋体" w:cs="宋体"/>
          <w:color w:val="auto"/>
        </w:rPr>
        <w:t>终止公告作为莆田市信成造价咨询有限公司通知所有潜在投标人的书面形式。</w:t>
      </w: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四、投标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w:t>
      </w:r>
      <w:r>
        <w:rPr>
          <w:rFonts w:hint="eastAsia" w:ascii="宋体" w:hAnsi="宋体" w:cs="宋体"/>
          <w:color w:val="auto"/>
        </w:rPr>
        <w:t>、投标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9.1</w:t>
      </w:r>
      <w:r>
        <w:rPr>
          <w:rFonts w:hint="eastAsia" w:ascii="宋体" w:hAnsi="宋体" w:cs="宋体"/>
          <w:color w:val="auto"/>
        </w:rPr>
        <w:t>投标人可对招标文件载明的全部或部分合同包进行投标。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9.2</w:t>
      </w:r>
      <w:r>
        <w:rPr>
          <w:rFonts w:hint="eastAsia" w:ascii="宋体" w:hAnsi="宋体" w:cs="宋体"/>
          <w:color w:val="auto"/>
        </w:rPr>
        <w:t>投标人应对同一个合同包内的所有内容进行完整投标，否则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9.3</w:t>
      </w:r>
      <w:r>
        <w:rPr>
          <w:rFonts w:hint="eastAsia" w:ascii="宋体" w:hAnsi="宋体" w:cs="宋体"/>
          <w:color w:val="auto"/>
        </w:rPr>
        <w:t>投标人代表只能接受一个投标人的授权参加投标，否则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9.4</w:t>
      </w:r>
      <w:r>
        <w:rPr>
          <w:rFonts w:hint="eastAsia" w:ascii="宋体" w:hAnsi="宋体" w:cs="宋体"/>
          <w:color w:val="auto"/>
        </w:rPr>
        <w:t>单位法定代表人为同一人或存在直接控股、管理关系的不同供应商，不得同时参加同一合同项下的投标，否则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9.5</w:t>
      </w:r>
      <w:r>
        <w:rPr>
          <w:rFonts w:hint="eastAsia" w:ascii="宋体" w:hAnsi="宋体" w:cs="宋体"/>
          <w:color w:val="auto"/>
        </w:rPr>
        <w:t>为本项目提供整体设计、规范编制或项目管理、监理、检测等服务的供应商，不得参加本项目除整体设计、规范编制和项目管理、监理、检测等服务外的采购活动，否则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9.6</w:t>
      </w:r>
      <w:r>
        <w:rPr>
          <w:rFonts w:hint="eastAsia" w:ascii="宋体" w:hAnsi="宋体" w:cs="宋体"/>
          <w:color w:val="auto"/>
        </w:rPr>
        <w:t>列入失信被执行人、重大税收违法案件当事人名单、政府采购严重违法失信行为记录名单及其他不符合政府采购法第二十二条规定条件的供应商，不得参加投标，否则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9.7</w:t>
      </w:r>
      <w:r>
        <w:rPr>
          <w:rFonts w:hint="eastAsia" w:ascii="宋体" w:hAnsi="宋体" w:cs="宋体"/>
          <w:color w:val="auto"/>
        </w:rPr>
        <w:t>有下列情形之一的，视为投标人串通投标，</w:t>
      </w:r>
      <w:r>
        <w:rPr>
          <w:rStyle w:val="20"/>
          <w:rFonts w:hint="eastAsia" w:ascii="宋体" w:hAnsi="宋体" w:cs="宋体"/>
          <w:color w:val="auto"/>
        </w:rPr>
        <w:t>其投标无效：</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）不同投标人的投标文件由同一单位或个人编制；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）不同投标人委托同一单位或个人办理投标事宜；</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）不同投标人的投标文件载明的项目管理成员或联系人员为同一人；</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）不同投标人的投标文件异常一致或投标报价呈规律性差异；</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）不同投标人的投标文件相互混装；</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）不同投标人的投标保证金从同一单位或个人的账户转出；</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）有关法律、法规和规章及招标文件规定的其他串通投标情形。</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w:t>
      </w:r>
      <w:r>
        <w:rPr>
          <w:rFonts w:hint="eastAsia" w:ascii="宋体" w:hAnsi="宋体" w:cs="宋体"/>
          <w:color w:val="auto"/>
        </w:rPr>
        <w:t>、投标文件</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10.1</w:t>
      </w:r>
      <w:r>
        <w:rPr>
          <w:rFonts w:hint="eastAsia" w:ascii="宋体" w:hAnsi="宋体" w:cs="宋体"/>
          <w:color w:val="auto"/>
        </w:rPr>
        <w:t>投标文件的编制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）投标人应先仔细阅读招标文件的全部内容后，再进行投标文件的编制。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）投标文件应按照本章第</w:t>
      </w:r>
      <w:r>
        <w:rPr>
          <w:rFonts w:ascii="宋体" w:hAnsi="宋体" w:cs="宋体"/>
          <w:color w:val="auto"/>
        </w:rPr>
        <w:t>10.2</w:t>
      </w:r>
      <w:r>
        <w:rPr>
          <w:rFonts w:hint="eastAsia" w:ascii="宋体" w:hAnsi="宋体" w:cs="宋体"/>
          <w:color w:val="auto"/>
        </w:rPr>
        <w:t>条规定编制其组成部分。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）投标文件应满足招标文件提出的实质性要求和条件，并保证其所提交的全部资料是不可割离且真实、有效、准确、完整和不具有任何误导性的，否则造成不利后果由投标人承担责任。</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10.2</w:t>
      </w:r>
      <w:r>
        <w:rPr>
          <w:rFonts w:hint="eastAsia" w:ascii="宋体" w:hAnsi="宋体" w:cs="宋体"/>
          <w:color w:val="auto"/>
        </w:rPr>
        <w:t>投标文件由下述部分组成：</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）资格及资信证明部分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①投标函</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②投标人的资格及资信证明文件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③投标保证金</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）报价部分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①开标一览表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②投标分项报价表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③招标文件规定的价格扣除证明材料（若有）</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④招标文件规定的加分证明材料（若有）</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）技术商务部分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①标的说明一览表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②技术和服务要求响应表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③商务条件响应表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④投标人提交的其他资料（若有）</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⑤招标文件规定作为投标文件组成部分的其他内容（若有）</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10.3</w:t>
      </w:r>
      <w:r>
        <w:rPr>
          <w:rFonts w:hint="eastAsia" w:ascii="宋体" w:hAnsi="宋体" w:cs="宋体"/>
          <w:color w:val="auto"/>
        </w:rPr>
        <w:t>投标文件的语言</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）除招标文件另有规定外，投标文件应使用中文文本，若有不同文本，以中文文本为准。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10.4</w:t>
      </w:r>
      <w:r>
        <w:rPr>
          <w:rFonts w:hint="eastAsia" w:ascii="宋体" w:hAnsi="宋体" w:cs="宋体"/>
          <w:color w:val="auto"/>
        </w:rPr>
        <w:t>投标文件的份数：详见招标文件第二章。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10.5</w:t>
      </w:r>
      <w:r>
        <w:rPr>
          <w:rFonts w:hint="eastAsia" w:ascii="宋体" w:hAnsi="宋体" w:cs="宋体"/>
          <w:color w:val="auto"/>
        </w:rPr>
        <w:t>投标文件的格式</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）除招标文件另有规定外，投标文件应使用招标文件第七章规定的格式。</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）除招标文件另有规定外，投标文件的正本和全部副本均应使用不能擦去的墨料或墨水打印、书写或复印，其中：</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①正本应用</w:t>
      </w:r>
      <w:r>
        <w:rPr>
          <w:rFonts w:ascii="宋体" w:hAnsi="宋体" w:cs="宋体"/>
          <w:color w:val="auto"/>
        </w:rPr>
        <w:t>A4</w:t>
      </w:r>
      <w:r>
        <w:rPr>
          <w:rFonts w:hint="eastAsia" w:ascii="宋体" w:hAnsi="宋体" w:cs="宋体"/>
          <w:color w:val="auto"/>
        </w:rPr>
        <w:t>幅面纸张打印装订，编制封面（封面标明“正本”字样）、索引、页码，并用胶装装订成册。</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②副本应用</w:t>
      </w:r>
      <w:r>
        <w:rPr>
          <w:rFonts w:ascii="宋体" w:hAnsi="宋体" w:cs="宋体"/>
          <w:color w:val="auto"/>
        </w:rPr>
        <w:t>A4</w:t>
      </w:r>
      <w:r>
        <w:rPr>
          <w:rFonts w:hint="eastAsia" w:ascii="宋体" w:hAnsi="宋体" w:cs="宋体"/>
          <w:color w:val="auto"/>
        </w:rPr>
        <w:t>幅面纸张打印装订，编制封面（封面标明“副本”字样）、索引、页码，并用胶装装订成册；副本可用正本的完整复印件，并与正本保持一致（若不一致，以正本为准）。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③允许散装或活页装订的内容或材料：详见招标文件第二章。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Style w:val="20"/>
          <w:rFonts w:hint="eastAsia" w:ascii="宋体" w:hAnsi="宋体" w:cs="宋体"/>
          <w:color w:val="auto"/>
        </w:rPr>
        <w:t>※除本章第</w:t>
      </w:r>
      <w:r>
        <w:rPr>
          <w:rStyle w:val="20"/>
          <w:rFonts w:ascii="宋体" w:hAnsi="宋体" w:cs="宋体"/>
          <w:color w:val="auto"/>
        </w:rPr>
        <w:t>10.5</w:t>
      </w:r>
      <w:r>
        <w:rPr>
          <w:rStyle w:val="20"/>
          <w:rFonts w:hint="eastAsia" w:ascii="宋体" w:hAnsi="宋体" w:cs="宋体"/>
          <w:color w:val="auto"/>
        </w:rPr>
        <w:t>条第（</w:t>
      </w:r>
      <w:r>
        <w:rPr>
          <w:rStyle w:val="20"/>
          <w:rFonts w:ascii="宋体" w:hAnsi="宋体" w:cs="宋体"/>
          <w:color w:val="auto"/>
        </w:rPr>
        <w:t>2</w:t>
      </w:r>
      <w:r>
        <w:rPr>
          <w:rStyle w:val="20"/>
          <w:rFonts w:hint="eastAsia" w:ascii="宋体" w:hAnsi="宋体" w:cs="宋体"/>
          <w:color w:val="auto"/>
        </w:rPr>
        <w:t>）款第③点规定情形外，投标文件散装或活页装订将导致投标无效。</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）除招标文件另有规定外，投标文件应使用人民币作为计量货币。</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）除招标文件另有规定外，签署、盖章应遵守下列规定：</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①投标文件应由投标人代表签字并加盖投标人的单位公章。若投标人代表为单位法定代表人授权的委托代理人，应提供“单位法定代表人授权书”。</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②投标文件应没有涂改或行间插字，除非这些改动是根据莆田市信成造价咨询有限公司的指示进行的，或是为改正投标人造成的应修改的错误而进行的。若有前述改动，应按照下列规定之一对改动处进行处理：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ascii="宋体" w:hAnsi="宋体" w:cs="宋体"/>
          <w:color w:val="auto"/>
        </w:rPr>
        <w:t>a.</w:t>
      </w:r>
      <w:r>
        <w:rPr>
          <w:rFonts w:hint="eastAsia" w:ascii="宋体" w:hAnsi="宋体" w:cs="宋体"/>
          <w:color w:val="auto"/>
        </w:rPr>
        <w:t>投标人代表签字确认；</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ascii="宋体" w:hAnsi="宋体" w:cs="宋体"/>
          <w:color w:val="auto"/>
        </w:rPr>
        <w:t>b.</w:t>
      </w:r>
      <w:r>
        <w:rPr>
          <w:rFonts w:hint="eastAsia" w:ascii="宋体" w:hAnsi="宋体" w:cs="宋体"/>
          <w:color w:val="auto"/>
        </w:rPr>
        <w:t>加盖投标人的单位公章或校正章。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10.6</w:t>
      </w:r>
      <w:r>
        <w:rPr>
          <w:rFonts w:hint="eastAsia" w:ascii="宋体" w:hAnsi="宋体" w:cs="宋体"/>
          <w:color w:val="auto"/>
        </w:rPr>
        <w:t>投标报价</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2"/>
        <w:textAlignment w:val="auto"/>
      </w:pPr>
      <w:r>
        <w:rPr>
          <w:rFonts w:hint="eastAsia" w:ascii="宋体" w:hAnsi="宋体" w:eastAsia="宋体" w:cs="宋体"/>
          <w:spacing w:val="0"/>
          <w:sz w:val="24"/>
          <w:szCs w:val="24"/>
        </w:rPr>
        <w:t>（1）投标报价超出最高限价将导致</w:t>
      </w:r>
      <w:r>
        <w:rPr>
          <w:rStyle w:val="20"/>
          <w:rFonts w:hint="eastAsia" w:ascii="宋体" w:hAnsi="宋体" w:eastAsia="宋体" w:cs="宋体"/>
          <w:spacing w:val="0"/>
          <w:sz w:val="24"/>
          <w:szCs w:val="24"/>
        </w:rPr>
        <w:t>投标无效。</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2"/>
        <w:textAlignment w:val="auto"/>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2"/>
        <w:textAlignment w:val="auto"/>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20"/>
          <w:rFonts w:hint="eastAsia" w:ascii="宋体" w:hAnsi="宋体" w:eastAsia="宋体" w:cs="宋体"/>
          <w:spacing w:val="0"/>
          <w:sz w:val="24"/>
          <w:szCs w:val="24"/>
        </w:rPr>
        <w:t>投标无效。</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10.7</w:t>
      </w:r>
      <w:r>
        <w:rPr>
          <w:rFonts w:hint="eastAsia" w:ascii="宋体" w:hAnsi="宋体" w:cs="宋体"/>
          <w:color w:val="auto"/>
        </w:rPr>
        <w:t>分包</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）是否允许中标人将本项目的非主体、非关键性工作进行分包：详见招标文件第二章。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）若允许中标人将本项目的非主体、非关键性工作进行分包且投标人拟在中标后进行分包，则投标人应在投标文件中载明分包承担主体，分包承担主体应具备相应资质条件（若有）且不得再次分包。</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）招标文件允许中标人将非主体、非关键性工作进行分包的项目，有下列情形之一的，中标人不得分包：</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①投标文件中未载明分包承担主体；</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②投标文件载明的分包承担主体不具备相应资质条件；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③投标文件载明的分包承担主体拟再次分包。</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10.8</w:t>
      </w:r>
      <w:r>
        <w:rPr>
          <w:rFonts w:hint="eastAsia" w:ascii="宋体" w:hAnsi="宋体" w:cs="宋体"/>
          <w:color w:val="auto"/>
        </w:rPr>
        <w:t>投标有效期</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）招标文件载明的投标有效期：详见招标文件第二章。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）投标文件承诺的投标有效期不得少于招标文件载明的投标有效期，否则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根据本次采购活动的需要，莆田市信成造价咨询有限公司可于投标有效期届满之前书面要求投标人延长投标有效期，投标人应在莆田市信成造价咨询有限公司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10.9</w:t>
      </w:r>
      <w:r>
        <w:rPr>
          <w:rFonts w:hint="eastAsia" w:ascii="宋体" w:hAnsi="宋体" w:cs="宋体"/>
          <w:color w:val="auto"/>
        </w:rPr>
        <w:t>投标保证金</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）投标保证金作为投标人按照招标文件规定履行相应投标责任、义务的约束及担保。</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）投标保证金的有效期应与投标文件承诺的投标有效期保持一致，否则</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）提交</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①投标人应从其银行账户</w:t>
      </w:r>
      <w:r>
        <w:rPr>
          <w:rStyle w:val="20"/>
          <w:rFonts w:hint="eastAsia" w:ascii="宋体" w:hAnsi="宋体" w:cs="宋体"/>
          <w:color w:val="auto"/>
        </w:rPr>
        <w:t>（基本存款账户）</w:t>
      </w:r>
      <w:r>
        <w:rPr>
          <w:rFonts w:hint="eastAsia" w:ascii="宋体" w:hAnsi="宋体" w:cs="宋体"/>
          <w:color w:val="auto"/>
        </w:rPr>
        <w:t>按照下列方式：</w:t>
      </w:r>
      <w:r>
        <w:rPr>
          <w:rStyle w:val="20"/>
          <w:rFonts w:hint="eastAsia" w:ascii="宋体" w:hAnsi="宋体" w:cs="宋体"/>
          <w:color w:val="auto"/>
        </w:rPr>
        <w:t>公对公转账方式</w:t>
      </w:r>
      <w:r>
        <w:rPr>
          <w:rFonts w:hint="eastAsia" w:ascii="宋体" w:hAnsi="宋体" w:cs="宋体"/>
          <w:color w:val="auto"/>
        </w:rPr>
        <w:t>向招标文件载明的投标保证金账户提交投标保证金，具体金额详见招标文件第二章。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②投标保证金应于投标截止时间前到达招标文件载明的投标保证金账户，否则视为投标保证金未提交；是否到达按照下列方式认定：</w:t>
      </w:r>
      <w:r>
        <w:rPr>
          <w:rStyle w:val="20"/>
          <w:rFonts w:hint="eastAsia" w:ascii="宋体" w:hAnsi="宋体" w:cs="宋体"/>
          <w:color w:val="auto"/>
        </w:rPr>
        <w:t>以招标文件指定保证金账户到账时间为准。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③若本项目接受联合体投标且投标人为联合体，则联合体中的牵头方应按照本章第</w:t>
      </w:r>
      <w:r>
        <w:rPr>
          <w:rFonts w:ascii="宋体" w:hAnsi="宋体" w:cs="宋体"/>
          <w:color w:val="auto"/>
        </w:rPr>
        <w:t>10.9</w:t>
      </w:r>
      <w:r>
        <w:rPr>
          <w:rFonts w:hint="eastAsia" w:ascii="宋体" w:hAnsi="宋体" w:cs="宋体"/>
          <w:color w:val="auto"/>
        </w:rPr>
        <w:t>条第（</w:t>
      </w:r>
      <w:r>
        <w:rPr>
          <w:rFonts w:ascii="宋体" w:hAnsi="宋体" w:cs="宋体"/>
          <w:color w:val="auto"/>
        </w:rPr>
        <w:t>3</w:t>
      </w:r>
      <w:r>
        <w:rPr>
          <w:rFonts w:hint="eastAsia" w:ascii="宋体" w:hAnsi="宋体" w:cs="宋体"/>
          <w:color w:val="auto"/>
        </w:rPr>
        <w:t>）款第①、②点规定提交投标保证金。</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Style w:val="20"/>
          <w:rFonts w:hint="eastAsia" w:ascii="宋体" w:hAnsi="宋体" w:cs="宋体"/>
          <w:color w:val="auto"/>
        </w:rPr>
        <w:t>※除招标文件另有规定外，未按照上述规定提交投标保证金将导致资格审查不合格。</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）退还</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①在投标截止时间前撤回已提交的投标文件的投标人，其投标保证金将在莆田市信成造价咨询有限公司收到投标人书面撤回通知之日起</w:t>
      </w:r>
      <w:r>
        <w:rPr>
          <w:rFonts w:ascii="宋体" w:hAnsi="宋体" w:cs="宋体"/>
          <w:color w:val="auto"/>
        </w:rPr>
        <w:t>5</w:t>
      </w:r>
      <w:r>
        <w:rPr>
          <w:rFonts w:hint="eastAsia" w:ascii="宋体" w:hAnsi="宋体" w:cs="宋体"/>
          <w:color w:val="auto"/>
        </w:rPr>
        <w:t>个工作日内退回原账户。</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②未中标人的投标保证金将在中标通知书发出之日起</w:t>
      </w:r>
      <w:r>
        <w:rPr>
          <w:rFonts w:ascii="宋体" w:hAnsi="宋体" w:cs="宋体"/>
          <w:color w:val="auto"/>
        </w:rPr>
        <w:t>5</w:t>
      </w:r>
      <w:r>
        <w:rPr>
          <w:rFonts w:hint="eastAsia" w:ascii="宋体" w:hAnsi="宋体" w:cs="宋体"/>
          <w:color w:val="auto"/>
        </w:rPr>
        <w:t>个工作日内退回原账户。</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③中标人的投标保证金将在政府采购合同签订之日起</w:t>
      </w:r>
      <w:r>
        <w:rPr>
          <w:rFonts w:ascii="宋体" w:hAnsi="宋体" w:cs="宋体"/>
          <w:color w:val="auto"/>
        </w:rPr>
        <w:t>5</w:t>
      </w:r>
      <w:r>
        <w:rPr>
          <w:rFonts w:hint="eastAsia" w:ascii="宋体" w:hAnsi="宋体" w:cs="宋体"/>
          <w:color w:val="auto"/>
        </w:rPr>
        <w:t>个工作日内退回原账户；</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④终止招标的，莆田市信成造价咨询有限公司将在终止公告发布之日起</w:t>
      </w:r>
      <w:r>
        <w:rPr>
          <w:rFonts w:ascii="宋体" w:hAnsi="宋体" w:cs="宋体"/>
          <w:color w:val="auto"/>
        </w:rPr>
        <w:t>5</w:t>
      </w:r>
      <w:r>
        <w:rPr>
          <w:rFonts w:hint="eastAsia" w:ascii="宋体" w:hAnsi="宋体" w:cs="宋体"/>
          <w:color w:val="auto"/>
        </w:rPr>
        <w:t>个工作日内退回已收取的投标保证金。</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⑤除招标文件另有规定外，质疑或投诉涉及的投标人，若投标保证金尚未退还，则待质疑或投诉处理完毕后不计利息原额退还。</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Style w:val="20"/>
          <w:rFonts w:hint="eastAsia" w:ascii="宋体" w:hAnsi="宋体" w:cs="宋体"/>
          <w:color w:val="auto"/>
        </w:rPr>
        <w:t>※本章第</w:t>
      </w:r>
      <w:r>
        <w:rPr>
          <w:rStyle w:val="20"/>
          <w:rFonts w:ascii="宋体" w:hAnsi="宋体" w:cs="宋体"/>
          <w:color w:val="auto"/>
        </w:rPr>
        <w:t>10.9</w:t>
      </w:r>
      <w:r>
        <w:rPr>
          <w:rStyle w:val="20"/>
          <w:rFonts w:hint="eastAsia" w:ascii="宋体" w:hAnsi="宋体" w:cs="宋体"/>
          <w:color w:val="auto"/>
        </w:rPr>
        <w:t>条第（</w:t>
      </w:r>
      <w:r>
        <w:rPr>
          <w:rStyle w:val="20"/>
          <w:rFonts w:ascii="宋体" w:hAnsi="宋体" w:cs="宋体"/>
          <w:color w:val="auto"/>
        </w:rPr>
        <w:t>4</w:t>
      </w:r>
      <w:r>
        <w:rPr>
          <w:rStyle w:val="20"/>
          <w:rFonts w:hint="eastAsia" w:ascii="宋体" w:hAnsi="宋体" w:cs="宋体"/>
          <w:color w:val="auto"/>
        </w:rPr>
        <w:t>）款第①、②、③点规定的投标保证金退还时限不包括因投标人自身原因导致无法及时退还而增加的时间。</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）若出现本章第</w:t>
      </w:r>
      <w:r>
        <w:rPr>
          <w:rFonts w:ascii="宋体" w:hAnsi="宋体" w:cs="宋体"/>
          <w:color w:val="auto"/>
        </w:rPr>
        <w:t>10.8</w:t>
      </w:r>
      <w:r>
        <w:rPr>
          <w:rFonts w:hint="eastAsia" w:ascii="宋体" w:hAnsi="宋体" w:cs="宋体"/>
          <w:color w:val="auto"/>
        </w:rPr>
        <w:t>条第（</w:t>
      </w:r>
      <w:r>
        <w:rPr>
          <w:rFonts w:ascii="宋体" w:hAnsi="宋体" w:cs="宋体"/>
          <w:color w:val="auto"/>
        </w:rPr>
        <w:t>3</w:t>
      </w:r>
      <w:r>
        <w:rPr>
          <w:rFonts w:hint="eastAsia" w:ascii="宋体" w:hAnsi="宋体" w:cs="宋体"/>
          <w:color w:val="auto"/>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）有下列情形之一的，投标保证金将不予退还：</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①投标人串通投标；</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②投标人提供虚假材料；</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③投标人采取不正当手段诋毁、排挤其他投标人；</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④投标截止时间后，投标人在投标有效期内撤销投标文件；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⑤投标人不接受评标委员会按照招标文件规定对投标报价错误之处进行修正；</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⑥投标人违反招标文件第三章第</w:t>
      </w:r>
      <w:r>
        <w:rPr>
          <w:rFonts w:ascii="宋体" w:hAnsi="宋体" w:cs="宋体"/>
          <w:color w:val="auto"/>
        </w:rPr>
        <w:t>9.4</w:t>
      </w:r>
      <w:r>
        <w:rPr>
          <w:rFonts w:hint="eastAsia" w:ascii="宋体" w:hAnsi="宋体" w:cs="宋体"/>
          <w:color w:val="auto"/>
        </w:rPr>
        <w:t>、</w:t>
      </w:r>
      <w:r>
        <w:rPr>
          <w:rFonts w:ascii="宋体" w:hAnsi="宋体" w:cs="宋体"/>
          <w:color w:val="auto"/>
        </w:rPr>
        <w:t>9.5</w:t>
      </w:r>
      <w:r>
        <w:rPr>
          <w:rFonts w:hint="eastAsia" w:ascii="宋体" w:hAnsi="宋体" w:cs="宋体"/>
          <w:color w:val="auto"/>
        </w:rPr>
        <w:t>、</w:t>
      </w:r>
      <w:r>
        <w:rPr>
          <w:rFonts w:ascii="宋体" w:hAnsi="宋体" w:cs="宋体"/>
          <w:color w:val="auto"/>
        </w:rPr>
        <w:t>9.6</w:t>
      </w:r>
      <w:r>
        <w:rPr>
          <w:rFonts w:hint="eastAsia" w:ascii="宋体" w:hAnsi="宋体" w:cs="宋体"/>
          <w:color w:val="auto"/>
        </w:rPr>
        <w:t>条规定之一；</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⑦招标文件规定的其他不予退还情形；</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⑧中标人有下列情形之一的：</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ascii="宋体" w:hAnsi="宋体" w:cs="宋体"/>
          <w:color w:val="auto"/>
        </w:rPr>
        <w:t>a.</w:t>
      </w:r>
      <w:r>
        <w:rPr>
          <w:rFonts w:hint="eastAsia" w:ascii="宋体" w:hAnsi="宋体" w:cs="宋体"/>
          <w:color w:val="auto"/>
        </w:rPr>
        <w:t>除不可抗力外，因中标人自身原因未在中标通知书要求的期限内与采购人签订政府采购合同；</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ascii="宋体" w:hAnsi="宋体" w:cs="宋体"/>
          <w:color w:val="auto"/>
        </w:rPr>
        <w:t>b.</w:t>
      </w:r>
      <w:r>
        <w:rPr>
          <w:rFonts w:hint="eastAsia" w:ascii="宋体" w:hAnsi="宋体" w:cs="宋体"/>
          <w:color w:val="auto"/>
        </w:rPr>
        <w:t>未按照招标文件、投标文件的约定签订政府采购合同或提交履约保证金。</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Style w:val="20"/>
          <w:rFonts w:hint="eastAsia" w:ascii="宋体" w:hAnsi="宋体" w:cs="宋体"/>
          <w:color w:val="auto"/>
        </w:rPr>
        <w:t>※若上述投标保证金不予退还情形给采购人（采购代理机构）造成损失，则投标人还要承担相应的赔偿责任。</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10.10</w:t>
      </w:r>
      <w:r>
        <w:rPr>
          <w:rFonts w:hint="eastAsia" w:ascii="宋体" w:hAnsi="宋体" w:cs="宋体"/>
          <w:color w:val="auto"/>
        </w:rPr>
        <w:t>投标文件的提交</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）一个投标人只能提交一个投标文件，并按照招标文件第一章规定将其送达。</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）密封及其标记的具体形式：详见招标文件第二章。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10.11</w:t>
      </w:r>
      <w:r>
        <w:rPr>
          <w:rFonts w:hint="eastAsia" w:ascii="宋体" w:hAnsi="宋体" w:cs="宋体"/>
          <w:color w:val="auto"/>
        </w:rPr>
        <w:t>投标文件的补充、修改或撤回</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）投标截止时间前，投标人可对所提交的投标文件进行补充、修改或撤回，并书面通知莆田市信成造价咨询有限公司。</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）补充、修改的内容应按照本章第</w:t>
      </w:r>
      <w:r>
        <w:rPr>
          <w:rFonts w:ascii="宋体" w:hAnsi="宋体" w:cs="宋体"/>
          <w:color w:val="auto"/>
        </w:rPr>
        <w:t>10.5</w:t>
      </w:r>
      <w:r>
        <w:rPr>
          <w:rFonts w:hint="eastAsia" w:ascii="宋体" w:hAnsi="宋体" w:cs="宋体"/>
          <w:color w:val="auto"/>
        </w:rPr>
        <w:t>条第（</w:t>
      </w:r>
      <w:r>
        <w:rPr>
          <w:rFonts w:ascii="宋体" w:hAnsi="宋体" w:cs="宋体"/>
          <w:color w:val="auto"/>
        </w:rPr>
        <w:t>4</w:t>
      </w:r>
      <w:r>
        <w:rPr>
          <w:rFonts w:hint="eastAsia" w:ascii="宋体" w:hAnsi="宋体" w:cs="宋体"/>
          <w:color w:val="auto"/>
        </w:rPr>
        <w:t>）款规定进行签署、盖章，并按照本章第</w:t>
      </w:r>
      <w:r>
        <w:rPr>
          <w:rFonts w:ascii="宋体" w:hAnsi="宋体" w:cs="宋体"/>
          <w:color w:val="auto"/>
        </w:rPr>
        <w:t>10.10</w:t>
      </w:r>
      <w:r>
        <w:rPr>
          <w:rFonts w:hint="eastAsia" w:ascii="宋体" w:hAnsi="宋体" w:cs="宋体"/>
          <w:color w:val="auto"/>
        </w:rPr>
        <w:t>条规定提交，</w:t>
      </w:r>
      <w:r>
        <w:rPr>
          <w:rStyle w:val="20"/>
          <w:rFonts w:hint="eastAsia" w:ascii="宋体" w:hAnsi="宋体" w:cs="宋体"/>
          <w:color w:val="auto"/>
        </w:rPr>
        <w:t>否则将被拒收。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Style w:val="20"/>
          <w:rFonts w:hint="eastAsia" w:ascii="宋体" w:hAnsi="宋体" w:cs="宋体"/>
          <w:color w:val="auto"/>
        </w:rPr>
        <w:t>※按照上述规定提交的补充、修改内容作为投标文件组成部分。</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10.12</w:t>
      </w:r>
      <w:r>
        <w:rPr>
          <w:rFonts w:hint="eastAsia" w:ascii="宋体" w:hAnsi="宋体" w:cs="宋体"/>
          <w:color w:val="auto"/>
        </w:rPr>
        <w:t>除招标文件另有规定外，有下列情形之一的，</w:t>
      </w:r>
      <w:r>
        <w:rPr>
          <w:rStyle w:val="20"/>
          <w:rFonts w:hint="eastAsia" w:ascii="宋体" w:hAnsi="宋体" w:cs="宋体"/>
          <w:color w:val="auto"/>
        </w:rPr>
        <w:t>投标无效</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）投标文件未按照招标文件要求签署、盖章；</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）不符合招标文件中规定的资格要求；</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）投标报价超过招标文件中规定的预算金额或最高限价；</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）投标文件含有采购人不能接受的附加条件；</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Style w:val="20"/>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）有关法律、法规和规章及招标文件规定的其他无效情形。</w:t>
      </w: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五、开标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w:t>
      </w:r>
      <w:r>
        <w:rPr>
          <w:rFonts w:hint="eastAsia" w:ascii="宋体" w:hAnsi="宋体" w:cs="宋体"/>
          <w:color w:val="auto"/>
        </w:rPr>
        <w:t>、开标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11.1</w:t>
      </w:r>
      <w:r>
        <w:rPr>
          <w:rFonts w:hint="eastAsia" w:ascii="宋体" w:hAnsi="宋体" w:cs="宋体"/>
          <w:color w:val="auto"/>
        </w:rPr>
        <w:t>莆田市信成造价咨询有限公司将在招标文件载明的开标时间及地点主持召开开标会，并邀请投标人参加。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11.2</w:t>
      </w:r>
      <w:r>
        <w:rPr>
          <w:rFonts w:hint="eastAsia" w:ascii="宋体" w:hAnsi="宋体" w:cs="宋体"/>
          <w:color w:val="auto"/>
        </w:rPr>
        <w:t>开标会的主持人、唱标人、记录人均由莆田市信成造价咨询有限公司派出，现场监督人员可由有关方面派出。</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11.3</w:t>
      </w:r>
      <w:r>
        <w:rPr>
          <w:rFonts w:hint="eastAsia" w:ascii="宋体" w:hAnsi="宋体" w:cs="宋体"/>
          <w:color w:val="auto"/>
        </w:rPr>
        <w:t>参加开标会的投标人应签到，非投标人不参加开标会。</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11.4</w:t>
      </w:r>
      <w:r>
        <w:rPr>
          <w:rFonts w:hint="eastAsia" w:ascii="宋体" w:hAnsi="宋体" w:cs="宋体"/>
          <w:color w:val="auto"/>
        </w:rPr>
        <w:t>开标会应遵守下列规定：</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）首先由主持人宣布开标会须知，然后由投标人代表对投标文件的密封情况进行检查，经确认无误后，由工作人员对密封的投标文件当众拆封。</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）记录人对唱标人宣布的内容作开标记录。</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）投标人代表对开标过程和开标记录有疑义，以及认为采购人（采购代理机构）相关工作人员有需要回避情形的，应当场提出询问或回避申请。否则，视为投标人对开标过程和开标记录予以认可。</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）若投标人未参加开标会（包括但不限于投标人派出的人员不是投标人代表），视同其对开标过程和开标记录予以认可。</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Style w:val="20"/>
          <w:rFonts w:hint="eastAsia" w:ascii="宋体" w:hAnsi="宋体" w:cs="宋体"/>
          <w:color w:val="auto"/>
        </w:rPr>
        <w:t>※若出现本章第</w:t>
      </w:r>
      <w:r>
        <w:rPr>
          <w:rStyle w:val="20"/>
          <w:rFonts w:ascii="宋体" w:hAnsi="宋体" w:cs="宋体"/>
          <w:color w:val="auto"/>
        </w:rPr>
        <w:t>11.4</w:t>
      </w:r>
      <w:r>
        <w:rPr>
          <w:rStyle w:val="20"/>
          <w:rFonts w:hint="eastAsia" w:ascii="宋体" w:hAnsi="宋体" w:cs="宋体"/>
          <w:color w:val="auto"/>
        </w:rPr>
        <w:t>条第（</w:t>
      </w:r>
      <w:r>
        <w:rPr>
          <w:rStyle w:val="20"/>
          <w:rFonts w:ascii="宋体" w:hAnsi="宋体" w:cs="宋体"/>
          <w:color w:val="auto"/>
        </w:rPr>
        <w:t>4</w:t>
      </w:r>
      <w:r>
        <w:rPr>
          <w:rStyle w:val="20"/>
          <w:rFonts w:hint="eastAsia" w:ascii="宋体" w:hAnsi="宋体" w:cs="宋体"/>
          <w:color w:val="auto"/>
        </w:rPr>
        <w:t>）、（</w:t>
      </w:r>
      <w:r>
        <w:rPr>
          <w:rStyle w:val="20"/>
          <w:rFonts w:ascii="宋体" w:hAnsi="宋体" w:cs="宋体"/>
          <w:color w:val="auto"/>
        </w:rPr>
        <w:t>5</w:t>
      </w:r>
      <w:r>
        <w:rPr>
          <w:rStyle w:val="20"/>
          <w:rFonts w:hint="eastAsia" w:ascii="宋体" w:hAnsi="宋体" w:cs="宋体"/>
          <w:color w:val="auto"/>
        </w:rPr>
        <w:t>）、（</w:t>
      </w:r>
      <w:r>
        <w:rPr>
          <w:rStyle w:val="20"/>
          <w:rFonts w:ascii="宋体" w:hAnsi="宋体" w:cs="宋体"/>
          <w:color w:val="auto"/>
        </w:rPr>
        <w:t>6</w:t>
      </w:r>
      <w:r>
        <w:rPr>
          <w:rStyle w:val="20"/>
          <w:rFonts w:hint="eastAsia" w:ascii="宋体" w:hAnsi="宋体" w:cs="宋体"/>
          <w:color w:val="auto"/>
        </w:rPr>
        <w:t>）款规定情形之一</w:t>
      </w:r>
      <w:r>
        <w:rPr>
          <w:rFonts w:hint="eastAsia" w:ascii="宋体" w:hAnsi="宋体" w:cs="宋体"/>
          <w:color w:val="auto"/>
        </w:rPr>
        <w:t>，</w:t>
      </w:r>
      <w:r>
        <w:rPr>
          <w:rStyle w:val="20"/>
          <w:rFonts w:hint="eastAsia" w:ascii="宋体" w:hAnsi="宋体" w:cs="宋体"/>
          <w:color w:val="auto"/>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color w:val="auto"/>
        </w:rPr>
        <w:t>莆田市信成造价咨询有限公司</w:t>
      </w:r>
      <w:r>
        <w:rPr>
          <w:rStyle w:val="20"/>
          <w:rFonts w:hint="eastAsia" w:ascii="宋体" w:hAnsi="宋体" w:cs="宋体"/>
          <w:color w:val="auto"/>
        </w:rPr>
        <w:t>提出任何疑义或要求（包括质疑）。</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11.5</w:t>
      </w:r>
      <w:r>
        <w:rPr>
          <w:rFonts w:hint="eastAsia" w:ascii="宋体" w:hAnsi="宋体" w:cs="宋体"/>
          <w:color w:val="auto"/>
        </w:rPr>
        <w:t>投标截止时间后，参加投标的投标人不足三家的，不进行开标。同时，本次采购活动结束，莆田市信成造价咨询有限公司将依法组织后续采购活动（包括但不限于：重新招标、采用其他方式采购等）。</w:t>
      </w: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六、中标与政府采购合同</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12</w:t>
      </w:r>
      <w:r>
        <w:rPr>
          <w:rFonts w:hint="eastAsia" w:ascii="宋体" w:hAnsi="宋体" w:cs="宋体"/>
          <w:color w:val="auto"/>
        </w:rPr>
        <w:t>、中标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12.1</w:t>
      </w:r>
      <w:r>
        <w:rPr>
          <w:rFonts w:hint="eastAsia" w:ascii="宋体" w:hAnsi="宋体" w:cs="宋体"/>
          <w:color w:val="auto"/>
        </w:rPr>
        <w:t>本项目推荐的中标候选人家数：详见招标文件第二章。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12.2</w:t>
      </w:r>
      <w:r>
        <w:rPr>
          <w:rFonts w:hint="eastAsia" w:ascii="宋体" w:hAnsi="宋体" w:cs="宋体"/>
          <w:color w:val="auto"/>
        </w:rPr>
        <w:t>本项目中标人的确定：详见招标文件第二章。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12.3</w:t>
      </w:r>
      <w:r>
        <w:rPr>
          <w:rFonts w:hint="eastAsia" w:ascii="宋体" w:hAnsi="宋体" w:cs="宋体"/>
          <w:color w:val="auto"/>
        </w:rPr>
        <w:t>中标公告</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）中标人确定之日起</w:t>
      </w:r>
      <w:r>
        <w:rPr>
          <w:rFonts w:ascii="宋体" w:hAnsi="宋体" w:cs="宋体"/>
          <w:color w:val="auto"/>
        </w:rPr>
        <w:t>2</w:t>
      </w:r>
      <w:r>
        <w:rPr>
          <w:rFonts w:hint="eastAsia" w:ascii="宋体" w:hAnsi="宋体" w:cs="宋体"/>
          <w:color w:val="auto"/>
        </w:rPr>
        <w:t>个工作日内，莆田市信成造价咨询有限公司将在招标文件载明的指定网站以中标公告的形式发布中标结果。</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）中标公告的公告期限为</w:t>
      </w:r>
      <w:r>
        <w:rPr>
          <w:rFonts w:ascii="宋体" w:hAnsi="宋体" w:cs="宋体"/>
          <w:color w:val="auto"/>
        </w:rPr>
        <w:t>1</w:t>
      </w:r>
      <w:r>
        <w:rPr>
          <w:rFonts w:hint="eastAsia" w:ascii="宋体" w:hAnsi="宋体" w:cs="宋体"/>
          <w:color w:val="auto"/>
        </w:rPr>
        <w:t>个工作日。</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）中标公告同时作为莆田市信成造价咨询有限公司通知除中标人外的其他投标人没有中标的书面形式。</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12.4</w:t>
      </w:r>
      <w:r>
        <w:rPr>
          <w:rFonts w:hint="eastAsia" w:ascii="宋体" w:hAnsi="宋体" w:cs="宋体"/>
          <w:color w:val="auto"/>
        </w:rPr>
        <w:t>中标通知书</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）中标公告发布的同时，莆田市信成造价咨询有限公司将向中标人发出中标通知书。</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）中标通知书发出后，采购人不得违法改变中标结果，中标人无正当理由不得放弃中标。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13</w:t>
      </w:r>
      <w:r>
        <w:rPr>
          <w:rFonts w:hint="eastAsia" w:ascii="宋体" w:hAnsi="宋体" w:cs="宋体"/>
          <w:color w:val="auto"/>
        </w:rPr>
        <w:t>、政府采购合同</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13.1</w:t>
      </w:r>
      <w:r>
        <w:rPr>
          <w:rFonts w:hint="eastAsia" w:ascii="宋体" w:hAnsi="宋体" w:cs="宋体"/>
          <w:color w:val="auto"/>
        </w:rPr>
        <w:t>签订政府采购合同应遵守政府采购法及实施条例的规定，不得对招标文件确定的事项和中标人的投标文件作实质性修改。采购人不得向中标人提出任何不合理的要求作为政府采购合同的签订条件。</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hint="eastAsia" w:ascii="宋体" w:hAnsi="宋体" w:cs="宋体"/>
          <w:color w:val="0000FF"/>
        </w:rPr>
      </w:pPr>
      <w:r>
        <w:rPr>
          <w:rFonts w:hint="eastAsia" w:ascii="宋体" w:hAnsi="宋体" w:cs="宋体"/>
          <w:color w:val="0000FF"/>
        </w:rPr>
        <w:t>13.2签订时限：自中标通知书发出</w:t>
      </w:r>
      <w:r>
        <w:rPr>
          <w:rFonts w:hint="eastAsia" w:ascii="宋体" w:hAnsi="宋体" w:cs="宋体"/>
          <w:color w:val="0000FF"/>
        </w:rPr>
        <w:t>之日起</w:t>
      </w:r>
      <w:r>
        <w:rPr>
          <w:rFonts w:hint="eastAsia" w:ascii="宋体" w:hAnsi="宋体" w:cs="宋体"/>
          <w:color w:val="0000FF"/>
          <w:lang w:val="en-US" w:eastAsia="zh-CN"/>
        </w:rPr>
        <w:t>2</w:t>
      </w:r>
      <w:r>
        <w:rPr>
          <w:rFonts w:hint="eastAsia" w:ascii="宋体" w:hAnsi="宋体" w:cs="宋体"/>
          <w:color w:val="0000FF"/>
        </w:rPr>
        <w:t>个日历日内。</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13.3</w:t>
      </w:r>
      <w:r>
        <w:rPr>
          <w:rFonts w:hint="eastAsia" w:ascii="宋体" w:hAnsi="宋体" w:cs="宋体"/>
          <w:color w:val="auto"/>
        </w:rPr>
        <w:t>政府采购合同的履行、违约责任和解决争议的方法等适用合同法。</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13.4</w:t>
      </w:r>
      <w:r>
        <w:rPr>
          <w:rFonts w:hint="eastAsia" w:ascii="宋体" w:hAnsi="宋体" w:cs="宋体"/>
          <w:color w:val="auto"/>
        </w:rPr>
        <w:t>采购人与中标人应根据政府采购合同的约定依法履行合同义务。</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13.5</w:t>
      </w:r>
      <w:r>
        <w:rPr>
          <w:rFonts w:hint="eastAsia" w:ascii="宋体" w:hAnsi="宋体" w:cs="宋体"/>
          <w:color w:val="auto"/>
        </w:rPr>
        <w:t>政府采购合同履行过程中，采购人若需追加与合同标的相同的货物或服务，则追加采购金额不得超过原合同采购金额的</w:t>
      </w:r>
      <w:r>
        <w:rPr>
          <w:rFonts w:ascii="宋体" w:hAnsi="宋体" w:cs="宋体"/>
          <w:color w:val="auto"/>
        </w:rPr>
        <w:t>10%</w:t>
      </w:r>
      <w:r>
        <w:rPr>
          <w:rFonts w:hint="eastAsia" w:ascii="宋体" w:hAnsi="宋体" w:cs="宋体"/>
          <w:color w:val="auto"/>
        </w:rPr>
        <w:t>。</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Style w:val="20"/>
          <w:rFonts w:ascii="宋体" w:cs="宋体"/>
          <w:color w:val="auto"/>
        </w:rPr>
      </w:pPr>
      <w:r>
        <w:rPr>
          <w:rFonts w:ascii="宋体" w:hAnsi="宋体" w:cs="宋体"/>
          <w:color w:val="auto"/>
        </w:rPr>
        <w:t>13.6</w:t>
      </w:r>
      <w:r>
        <w:rPr>
          <w:rFonts w:hint="eastAsia" w:ascii="宋体" w:hAnsi="宋体" w:cs="宋体"/>
          <w:color w:val="auto"/>
        </w:rPr>
        <w:t>中标人在政府采购合同履行过程中应遵守有关法律、法规和规章的强制性规定（即使前述强制性规定有可能在招标文件中未予列明）。</w:t>
      </w: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七、询问、质疑与投诉</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14</w:t>
      </w:r>
      <w:r>
        <w:rPr>
          <w:rFonts w:hint="eastAsia" w:ascii="宋体" w:hAnsi="宋体" w:cs="宋体"/>
          <w:color w:val="auto"/>
        </w:rPr>
        <w:t>、询问</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14.1</w:t>
      </w:r>
      <w:r>
        <w:rPr>
          <w:rFonts w:hint="eastAsia" w:ascii="宋体" w:hAnsi="宋体" w:cs="宋体"/>
          <w:color w:val="auto"/>
        </w:rPr>
        <w:t>潜在投标人或投标人对本次采购活动的有关事项若有疑问，可向莆田市信成造价咨询有限公司提出询问，莆田市信成造价咨询有限公司将按照政府采购法及实施条例的有关规定进行答复。</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15</w:t>
      </w:r>
      <w:r>
        <w:rPr>
          <w:rFonts w:hint="eastAsia" w:ascii="宋体" w:hAnsi="宋体" w:cs="宋体"/>
          <w:color w:val="auto"/>
        </w:rPr>
        <w:t>、质疑</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15.1</w:t>
      </w:r>
      <w:r>
        <w:rPr>
          <w:rFonts w:hint="eastAsia" w:ascii="宋体" w:hAnsi="宋体" w:cs="宋体"/>
          <w:color w:val="auto"/>
        </w:rPr>
        <w:t>针对同一采购程序环节的质疑应在政府采购法及实施条例规定的时限内一次性提出，并同时符合下列条件：</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）对招标文件提出质疑的，质疑人应为潜在投标人，且两者的身份、名称等均应保持一致。对采购过程、结果提出质疑的，质疑人应为投标人，且两者的身份、名称等均应保持一致。</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）质疑人应按照招标文件第二章规定方式提交质疑函。</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）质疑函应包括下列主要内容：</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①质疑人的基本信息，至少包括：全称、地址、邮政编码等；</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②所质疑项目的基本信息，至少包括：招标编号、项目名称等；</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③所质疑的具体事项（以下简称：“质疑事项”）；</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④针对质疑事项提出的明确请求，前述明确请求指质疑人提出质疑的目的以及希望莆田市信成造价咨询有限公司对其质疑作出的处理结果，如：暂停招标投标活动、修改招标文件、停止或纠正违法违规行为、中标结果无效、废标、重新招标等；</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color w:val="auto"/>
          <w:kern w:val="0"/>
          <w:sz w:val="24"/>
        </w:rPr>
        <w:t>⑤针对质疑事项导致质疑人自身权益受到损害的必要证明材料，至少包括：</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a.</w:t>
      </w:r>
      <w:r>
        <w:rPr>
          <w:rFonts w:hint="eastAsia" w:ascii="宋体" w:hAnsi="宋体" w:cs="宋体"/>
          <w:color w:val="auto"/>
          <w:kern w:val="0"/>
          <w:sz w:val="24"/>
        </w:rPr>
        <w:t>质疑人代表的身份证明材料：</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a1</w:t>
      </w:r>
      <w:r>
        <w:rPr>
          <w:rFonts w:hint="eastAsia" w:ascii="宋体" w:hAnsi="宋体" w:cs="宋体"/>
          <w:color w:val="auto"/>
          <w:kern w:val="0"/>
          <w:sz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a2</w:t>
      </w:r>
      <w:r>
        <w:rPr>
          <w:rFonts w:hint="eastAsia" w:ascii="宋体" w:hAnsi="宋体" w:cs="宋体"/>
          <w:color w:val="auto"/>
          <w:kern w:val="0"/>
          <w:sz w:val="24"/>
        </w:rPr>
        <w:t>若本项目接受自然人投标且质疑人为自然人的，提供本人的身份证复印件。</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w:t>
      </w:r>
      <w:r>
        <w:rPr>
          <w:rFonts w:hint="eastAsia" w:ascii="宋体" w:hAnsi="宋体" w:cs="宋体"/>
          <w:color w:val="auto"/>
          <w:kern w:val="0"/>
          <w:sz w:val="24"/>
        </w:rPr>
        <w:t>其他证明材料（即事实依据和必要的法律依据）包括但不限于下列材料：</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b1</w:t>
      </w:r>
      <w:r>
        <w:rPr>
          <w:rFonts w:hint="eastAsia" w:ascii="宋体" w:hAnsi="宋体" w:cs="宋体"/>
          <w:color w:val="auto"/>
          <w:kern w:val="0"/>
          <w:sz w:val="24"/>
        </w:rPr>
        <w:t>所质疑的具体事项是与自已有利害关系的证明材料；</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b2</w:t>
      </w:r>
      <w:r>
        <w:rPr>
          <w:rFonts w:hint="eastAsia" w:ascii="宋体" w:hAnsi="宋体" w:cs="宋体"/>
          <w:color w:val="auto"/>
          <w:kern w:val="0"/>
          <w:sz w:val="24"/>
        </w:rPr>
        <w:t>质疑函所述事实存在的证明材料，如：采购文件、采购过程或中标结果违法违规或不符合采购文件要求等证明材料；</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b3</w:t>
      </w:r>
      <w:r>
        <w:rPr>
          <w:rFonts w:hint="eastAsia" w:ascii="宋体" w:hAnsi="宋体" w:cs="宋体"/>
          <w:color w:val="auto"/>
          <w:kern w:val="0"/>
          <w:sz w:val="24"/>
        </w:rPr>
        <w:t>依法应终止采购程序的证明材料；</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b4</w:t>
      </w:r>
      <w:r>
        <w:rPr>
          <w:rFonts w:hint="eastAsia" w:ascii="宋体" w:hAnsi="宋体" w:cs="宋体"/>
          <w:color w:val="auto"/>
          <w:kern w:val="0"/>
          <w:sz w:val="24"/>
        </w:rPr>
        <w:t>应重新采购的证明材料；</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b5</w:t>
      </w:r>
      <w:r>
        <w:rPr>
          <w:rFonts w:hint="eastAsia" w:ascii="宋体" w:hAnsi="宋体" w:cs="宋体"/>
          <w:color w:val="auto"/>
          <w:kern w:val="0"/>
          <w:sz w:val="24"/>
        </w:rPr>
        <w:t>采购文件、采购过程或中标、成交结果损害自已合法权益的证明材料等；</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ascii="宋体" w:hAnsi="宋体" w:cs="宋体"/>
          <w:color w:val="auto"/>
          <w:kern w:val="0"/>
          <w:sz w:val="24"/>
        </w:rPr>
        <w:t>b6</w:t>
      </w:r>
      <w:r>
        <w:rPr>
          <w:rFonts w:hint="eastAsia" w:ascii="宋体" w:hAnsi="宋体" w:cs="宋体"/>
          <w:color w:val="auto"/>
          <w:kern w:val="0"/>
          <w:sz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hint="eastAsia" w:ascii="宋体" w:hAnsi="宋体" w:cs="宋体"/>
          <w:b/>
          <w:bCs/>
          <w:color w:val="auto"/>
          <w:kern w:val="0"/>
          <w:sz w:val="24"/>
        </w:rPr>
        <w:t>视为无效</w:t>
      </w:r>
      <w:r>
        <w:rPr>
          <w:rFonts w:hint="eastAsia" w:ascii="宋体" w:hAnsi="宋体" w:cs="宋体"/>
          <w:color w:val="auto"/>
          <w:kern w:val="0"/>
          <w:sz w:val="24"/>
        </w:rPr>
        <w:t>）。</w:t>
      </w:r>
      <w:r>
        <w:rPr>
          <w:rFonts w:ascii="宋体" w:cs="宋体"/>
          <w:color w:val="auto"/>
          <w:kern w:val="0"/>
          <w:sz w:val="24"/>
        </w:rPr>
        <w:br w:type="textWrapping"/>
      </w: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⑥质疑人代表及其联系方法的信息，至少包括：姓名、手机、电子信箱、邮寄地址等。</w:t>
      </w:r>
      <w:r>
        <w:rPr>
          <w:rFonts w:ascii="宋体" w:cs="宋体"/>
          <w:color w:val="auto"/>
          <w:kern w:val="0"/>
          <w:sz w:val="24"/>
        </w:rPr>
        <w:br w:type="textWrapping"/>
      </w:r>
      <w:r>
        <w:rPr>
          <w:rFonts w:ascii="宋体" w:cs="宋体"/>
          <w:color w:val="auto"/>
          <w:kern w:val="0"/>
          <w:sz w:val="24"/>
        </w:rPr>
        <w:t> </w:t>
      </w:r>
      <w:r>
        <w:rPr>
          <w:rFonts w:ascii="宋体" w:hAnsi="宋体" w:cs="宋体"/>
          <w:color w:val="auto"/>
          <w:kern w:val="0"/>
          <w:sz w:val="24"/>
        </w:rPr>
        <w:t xml:space="preserve">  </w:t>
      </w:r>
      <w:r>
        <w:rPr>
          <w:rFonts w:hint="eastAsia" w:ascii="宋体" w:hAnsi="宋体" w:cs="宋体"/>
          <w:color w:val="auto"/>
          <w:kern w:val="0"/>
          <w:sz w:val="24"/>
        </w:rPr>
        <w:t>⑦提出质疑的日期。</w:t>
      </w:r>
    </w:p>
    <w:p>
      <w:pPr>
        <w:keepNext w:val="0"/>
        <w:keepLines w:val="0"/>
        <w:pageBreakBefore w:val="0"/>
        <w:widowControl/>
        <w:kinsoku/>
        <w:wordWrap/>
        <w:overflowPunct/>
        <w:topLinePunct w:val="0"/>
        <w:autoSpaceDE/>
        <w:autoSpaceDN/>
        <w:bidi w:val="0"/>
        <w:snapToGrid/>
        <w:spacing w:beforeAutospacing="0" w:afterAutospacing="0" w:line="440" w:lineRule="exact"/>
        <w:ind w:firstLine="369"/>
        <w:jc w:val="left"/>
        <w:textAlignment w:val="auto"/>
        <w:rPr>
          <w:rFonts w:ascii="宋体" w:cs="宋体"/>
          <w:color w:val="auto"/>
          <w:kern w:val="0"/>
          <w:sz w:val="24"/>
        </w:rPr>
      </w:pPr>
      <w:r>
        <w:rPr>
          <w:rFonts w:hint="eastAsia" w:ascii="宋体" w:hAnsi="宋体" w:cs="宋体"/>
          <w:b/>
          <w:bCs/>
          <w:color w:val="auto"/>
          <w:kern w:val="0"/>
          <w:sz w:val="24"/>
        </w:rPr>
        <w:t>※质疑人为法人或其他组织的，质疑函应由单位负责人或委托代理人签字或盖章，并加盖投标人的单位公章。质疑人为自然人的，质疑函应由本人签字。</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15.2</w:t>
      </w:r>
      <w:r>
        <w:rPr>
          <w:rFonts w:hint="eastAsia" w:ascii="宋体" w:hAnsi="宋体" w:cs="宋体"/>
          <w:color w:val="auto"/>
        </w:rPr>
        <w:t>对不符合本章第</w:t>
      </w:r>
      <w:r>
        <w:rPr>
          <w:rFonts w:ascii="宋体" w:hAnsi="宋体" w:cs="宋体"/>
          <w:color w:val="auto"/>
        </w:rPr>
        <w:t>15.1</w:t>
      </w:r>
      <w:r>
        <w:rPr>
          <w:rFonts w:hint="eastAsia" w:ascii="宋体" w:hAnsi="宋体" w:cs="宋体"/>
          <w:color w:val="auto"/>
        </w:rPr>
        <w:t>条规定的质疑，将按照下列规定进行处理：</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）不符合其中第（</w:t>
      </w:r>
      <w:r>
        <w:rPr>
          <w:rFonts w:ascii="宋体" w:hAnsi="宋体" w:cs="宋体"/>
          <w:color w:val="auto"/>
        </w:rPr>
        <w:t>1</w:t>
      </w:r>
      <w:r>
        <w:rPr>
          <w:rFonts w:hint="eastAsia" w:ascii="宋体" w:hAnsi="宋体" w:cs="宋体"/>
          <w:color w:val="auto"/>
        </w:rPr>
        <w:t>）、（</w:t>
      </w:r>
      <w:r>
        <w:rPr>
          <w:rFonts w:ascii="宋体" w:hAnsi="宋体" w:cs="宋体"/>
          <w:color w:val="auto"/>
        </w:rPr>
        <w:t>2</w:t>
      </w:r>
      <w:r>
        <w:rPr>
          <w:rFonts w:hint="eastAsia" w:ascii="宋体" w:hAnsi="宋体" w:cs="宋体"/>
          <w:color w:val="auto"/>
        </w:rPr>
        <w:t>）条规定的，书面告知质疑人不予受理及其理由。</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）不符合其中第（</w:t>
      </w:r>
      <w:r>
        <w:rPr>
          <w:rFonts w:ascii="宋体" w:hAnsi="宋体" w:cs="宋体"/>
          <w:color w:val="auto"/>
        </w:rPr>
        <w:t>3</w:t>
      </w:r>
      <w:r>
        <w:rPr>
          <w:rFonts w:hint="eastAsia" w:ascii="宋体" w:hAnsi="宋体" w:cs="宋体"/>
          <w:color w:val="auto"/>
        </w:rPr>
        <w:t>）条规定的，书面告知质疑人修改、补充后在规定时限内重新提交质疑函。</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15.3</w:t>
      </w:r>
      <w:r>
        <w:rPr>
          <w:rFonts w:hint="eastAsia" w:ascii="宋体" w:hAnsi="宋体" w:cs="宋体"/>
          <w:color w:val="auto"/>
        </w:rPr>
        <w:t>对符合本章第</w:t>
      </w:r>
      <w:r>
        <w:rPr>
          <w:rFonts w:ascii="宋体" w:hAnsi="宋体" w:cs="宋体"/>
          <w:color w:val="auto"/>
        </w:rPr>
        <w:t>15.1</w:t>
      </w:r>
      <w:r>
        <w:rPr>
          <w:rFonts w:hint="eastAsia" w:ascii="宋体" w:hAnsi="宋体" w:cs="宋体"/>
          <w:color w:val="auto"/>
        </w:rPr>
        <w:t>条规定的质疑，将按照政府采购法及实施条例的有关规定进行答复。</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15.4</w:t>
      </w:r>
      <w:r>
        <w:rPr>
          <w:rFonts w:hint="eastAsia" w:ascii="宋体" w:hAnsi="宋体" w:cs="宋体"/>
          <w:color w:val="auto"/>
        </w:rPr>
        <w:t>招标文件的质疑：详见招标文件第二章。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16</w:t>
      </w:r>
      <w:r>
        <w:rPr>
          <w:rFonts w:hint="eastAsia" w:ascii="宋体" w:hAnsi="宋体" w:cs="宋体"/>
          <w:color w:val="auto"/>
        </w:rPr>
        <w:t>、投诉</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16.1</w:t>
      </w:r>
      <w:r>
        <w:rPr>
          <w:rFonts w:hint="eastAsia" w:ascii="宋体" w:hAnsi="宋体" w:cs="宋体"/>
          <w:color w:val="auto"/>
        </w:rPr>
        <w:t>若对质疑答复不满意或质疑答复未在答复期限内作出，质疑人可在答复期限届满之日起</w:t>
      </w:r>
      <w:r>
        <w:rPr>
          <w:rFonts w:ascii="宋体" w:hAnsi="宋体" w:cs="宋体"/>
          <w:color w:val="auto"/>
        </w:rPr>
        <w:t>15</w:t>
      </w:r>
      <w:r>
        <w:rPr>
          <w:rFonts w:hint="eastAsia" w:ascii="宋体" w:hAnsi="宋体" w:cs="宋体"/>
          <w:color w:val="auto"/>
        </w:rPr>
        <w:t>个工作日内向招标文件第二章载明的本项目监督管理部门投诉。</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16.2</w:t>
      </w:r>
      <w:r>
        <w:rPr>
          <w:rFonts w:hint="eastAsia" w:ascii="宋体" w:hAnsi="宋体" w:cs="宋体"/>
          <w:color w:val="auto"/>
        </w:rPr>
        <w:t>投诉应有明确的请求和必要的证明材料，投诉的事项不得超出已质疑事项的范围。</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八、政府采购政策</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17</w:t>
      </w:r>
      <w:r>
        <w:rPr>
          <w:rFonts w:hint="eastAsia" w:ascii="宋体" w:hAnsi="宋体" w:cs="宋体"/>
          <w:color w:val="auto"/>
        </w:rPr>
        <w:t>、政府采购政策由财政部根据国家的经济和社会发展政策并会同国家有关部委制定，包括但不限于下列具体政策要求：</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17.1</w:t>
      </w:r>
      <w:r>
        <w:rPr>
          <w:rFonts w:hint="eastAsia" w:ascii="宋体" w:hAnsi="宋体" w:cs="宋体"/>
          <w:color w:val="auto"/>
        </w:rPr>
        <w:t>进口产品指通过中国海关报关验放进入中国境内且产自关境外的产品，其中：</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）凡在海关特殊监管区域内企业生产或加工（包括从境外进口料件）销往境内其他地区的产品，不作为政府采购项下进口产品。</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）对从境外进入海关特殊监管区域，再经办理报关手续后从海关特殊监管区进入境内其他地区的产品，认定为进口产品。</w:t>
      </w:r>
    </w:p>
    <w:p>
      <w:pPr>
        <w:pStyle w:val="15"/>
        <w:keepNext w:val="0"/>
        <w:keepLines w:val="0"/>
        <w:pageBreakBefore w:val="0"/>
        <w:kinsoku/>
        <w:wordWrap/>
        <w:overflowPunct/>
        <w:topLinePunct w:val="0"/>
        <w:autoSpaceDE/>
        <w:autoSpaceDN/>
        <w:bidi w:val="0"/>
        <w:snapToGrid/>
        <w:spacing w:beforeAutospacing="0" w:afterAutospacing="0" w:line="440" w:lineRule="exact"/>
        <w:ind w:firstLine="480"/>
        <w:textAlignment w:val="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）招标文件列明不允许或未列明允许进口产品参加投标的，均视为拒绝进口产品参加投标。</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textAlignment w:val="auto"/>
      </w:pPr>
      <w:r>
        <w:rPr>
          <w:rFonts w:ascii="宋体" w:hAnsi="宋体" w:cs="宋体"/>
          <w:color w:val="auto"/>
        </w:rPr>
        <w:t>17.2</w:t>
      </w:r>
      <w:r>
        <w:rPr>
          <w:rFonts w:hint="eastAsia" w:ascii="宋体" w:hAnsi="宋体" w:eastAsia="宋体" w:cs="宋体"/>
          <w:spacing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textAlignment w:val="auto"/>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textAlignment w:val="auto"/>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20"/>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20"/>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20"/>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（1）中小企业指同时符合下列条件的中型、小型、微型企业：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239" w:leftChars="114" w:right="0" w:firstLine="307" w:firstLineChars="128"/>
        <w:textAlignment w:val="auto"/>
      </w:pPr>
      <w:r>
        <w:rPr>
          <w:rFonts w:hint="eastAsia" w:ascii="宋体" w:hAnsi="宋体" w:eastAsia="宋体" w:cs="宋体"/>
          <w:spacing w:val="0"/>
          <w:sz w:val="24"/>
          <w:szCs w:val="24"/>
        </w:rPr>
        <w:t>②监狱企业视同小型、微型企业。</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（3）残疾人福利性单位指同时符合下列条件的单位：</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②依法与安置的每位残疾人签订了一年以上（含一年）的劳动合同或服务协议；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80"/>
        <w:textAlignment w:val="auto"/>
      </w:pPr>
      <w:r>
        <w:rPr>
          <w:rStyle w:val="20"/>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textAlignment w:val="auto"/>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textAlignment w:val="auto"/>
      </w:pPr>
      <w:r>
        <w:rPr>
          <w:rFonts w:hint="eastAsia" w:ascii="宋体" w:hAnsi="宋体" w:eastAsia="宋体" w:cs="宋体"/>
          <w:spacing w:val="0"/>
          <w:sz w:val="24"/>
          <w:szCs w:val="24"/>
        </w:rPr>
        <w:t>17.6为落实政府采购政策需满足的要求：详见招标文件第一章。</w:t>
      </w:r>
    </w:p>
    <w:p>
      <w:pPr>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b/>
          <w:color w:val="auto"/>
          <w:sz w:val="24"/>
        </w:rPr>
      </w:pP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九、本项目的有关信息</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18</w:t>
      </w:r>
      <w:r>
        <w:rPr>
          <w:rFonts w:hint="eastAsia" w:ascii="宋体" w:hAnsi="宋体" w:cs="宋体"/>
          <w:color w:val="auto"/>
        </w:rPr>
        <w:t>、本项目的有关信息，包括但不限于：招标公告、更正公告（若有）、招标文件、招标文件的澄清或修改（若有）、中标公告、终止公告（若有）、废标公告（若有）等都将在招标文件载明的网站发布。</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18.1</w:t>
      </w:r>
      <w:r>
        <w:rPr>
          <w:rFonts w:hint="eastAsia" w:ascii="宋体" w:hAnsi="宋体" w:cs="宋体"/>
          <w:color w:val="auto"/>
        </w:rPr>
        <w:t>发布网站：详见招标文件第二章。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b/>
          <w:bCs/>
          <w:color w:val="auto"/>
          <w:kern w:val="0"/>
        </w:rPr>
      </w:pPr>
      <w:r>
        <w:rPr>
          <w:rFonts w:ascii="宋体" w:hAnsi="宋体" w:cs="宋体"/>
          <w:color w:val="auto"/>
        </w:rPr>
        <w:t>18.2</w:t>
      </w:r>
      <w:r>
        <w:rPr>
          <w:rFonts w:hint="eastAsia" w:ascii="宋体" w:hAnsi="宋体" w:cs="宋体"/>
          <w:color w:val="auto"/>
        </w:rPr>
        <w:t>本项目的潜在投标人或投标人应随时关注相关发布网站，否则产生不利后果由其自行承担。</w:t>
      </w:r>
    </w:p>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b/>
          <w:bCs/>
          <w:color w:val="auto"/>
          <w:kern w:val="0"/>
          <w:sz w:val="24"/>
        </w:rPr>
        <w:t>十、其他事项</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Style w:val="20"/>
          <w:rFonts w:ascii="宋体" w:cs="宋体"/>
          <w:color w:val="auto"/>
          <w:sz w:val="32"/>
          <w:szCs w:val="32"/>
        </w:rPr>
      </w:pPr>
      <w:r>
        <w:rPr>
          <w:rFonts w:ascii="宋体" w:hAnsi="宋体" w:cs="宋体"/>
          <w:color w:val="auto"/>
        </w:rPr>
        <w:t>19</w:t>
      </w:r>
      <w:r>
        <w:rPr>
          <w:rFonts w:hint="eastAsia" w:ascii="宋体" w:hAnsi="宋体" w:cs="宋体"/>
          <w:color w:val="auto"/>
        </w:rPr>
        <w:t>、其他事项：详见招标文件第二章。</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Style w:val="20"/>
          <w:rFonts w:ascii="宋体" w:cs="宋体"/>
          <w:color w:val="auto"/>
          <w:sz w:val="32"/>
          <w:szCs w:val="32"/>
        </w:rPr>
      </w:pP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sz w:val="32"/>
          <w:szCs w:val="32"/>
        </w:rPr>
        <w:t>第四章</w:t>
      </w:r>
      <w:r>
        <w:rPr>
          <w:rStyle w:val="20"/>
          <w:rFonts w:ascii="宋体" w:cs="宋体"/>
          <w:color w:val="auto"/>
          <w:sz w:val="32"/>
          <w:szCs w:val="32"/>
        </w:rPr>
        <w:t> </w:t>
      </w:r>
      <w:r>
        <w:rPr>
          <w:rStyle w:val="20"/>
          <w:rFonts w:ascii="宋体" w:hAnsi="宋体" w:cs="宋体"/>
          <w:color w:val="auto"/>
          <w:sz w:val="32"/>
          <w:szCs w:val="32"/>
        </w:rPr>
        <w:t xml:space="preserve">  </w:t>
      </w:r>
      <w:r>
        <w:rPr>
          <w:rStyle w:val="20"/>
          <w:rFonts w:hint="eastAsia" w:ascii="宋体" w:hAnsi="宋体" w:cs="宋体"/>
          <w:color w:val="auto"/>
          <w:sz w:val="32"/>
          <w:szCs w:val="32"/>
        </w:rPr>
        <w:t>资格审查与评标</w:t>
      </w:r>
    </w:p>
    <w:p>
      <w:pPr>
        <w:pStyle w:val="15"/>
        <w:keepNext w:val="0"/>
        <w:keepLines w:val="0"/>
        <w:pageBreakBefore w:val="0"/>
        <w:kinsoku/>
        <w:wordWrap/>
        <w:overflowPunct/>
        <w:topLinePunct w:val="0"/>
        <w:autoSpaceDE/>
        <w:autoSpaceDN/>
        <w:bidi w:val="0"/>
        <w:snapToGrid/>
        <w:spacing w:beforeAutospacing="0" w:afterAutospacing="0" w:line="440" w:lineRule="exact"/>
        <w:jc w:val="center"/>
        <w:textAlignment w:val="auto"/>
        <w:rPr>
          <w:rFonts w:ascii="宋体" w:cs="宋体"/>
          <w:color w:val="auto"/>
        </w:rPr>
      </w:pPr>
      <w:r>
        <w:rPr>
          <w:rStyle w:val="20"/>
          <w:rFonts w:hint="eastAsia" w:ascii="宋体" w:hAnsi="宋体" w:cs="宋体"/>
          <w:color w:val="auto"/>
        </w:rPr>
        <w:t>一、资格审查</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w:t>
      </w:r>
      <w:r>
        <w:rPr>
          <w:rFonts w:hint="eastAsia" w:ascii="宋体" w:hAnsi="宋体" w:cs="宋体"/>
          <w:color w:val="auto"/>
        </w:rPr>
        <w:t>、开标结束后，莆田市信成造价咨询有限公司负责资格审查小组的组建及资格审查工作的组织。</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1.1</w:t>
      </w:r>
      <w:r>
        <w:rPr>
          <w:rFonts w:hint="eastAsia" w:ascii="宋体" w:hAnsi="宋体" w:cs="宋体"/>
          <w:color w:val="auto"/>
        </w:rPr>
        <w:t>资格审查小组由</w:t>
      </w:r>
      <w:r>
        <w:rPr>
          <w:rFonts w:ascii="宋体" w:hAnsi="宋体" w:cs="宋体"/>
          <w:color w:val="auto"/>
        </w:rPr>
        <w:t>3</w:t>
      </w:r>
      <w:r>
        <w:rPr>
          <w:rFonts w:hint="eastAsia" w:ascii="宋体" w:hAnsi="宋体" w:cs="宋体"/>
          <w:color w:val="auto"/>
        </w:rPr>
        <w:t>人组成，并负责具体审查事务，其中：由采购人派出的采购人代表至少</w:t>
      </w:r>
      <w:r>
        <w:rPr>
          <w:rFonts w:ascii="宋体" w:hAnsi="宋体" w:cs="宋体"/>
          <w:color w:val="auto"/>
        </w:rPr>
        <w:t>1</w:t>
      </w:r>
      <w:r>
        <w:rPr>
          <w:rFonts w:hint="eastAsia" w:ascii="宋体" w:hAnsi="宋体" w:cs="宋体"/>
          <w:color w:val="auto"/>
        </w:rPr>
        <w:t>人，由莆田市信成造价咨询有限公司派出的工作人员至少</w:t>
      </w:r>
      <w:r>
        <w:rPr>
          <w:rFonts w:ascii="宋体" w:hAnsi="宋体" w:cs="宋体"/>
          <w:color w:val="auto"/>
        </w:rPr>
        <w:t>1</w:t>
      </w:r>
      <w:r>
        <w:rPr>
          <w:rFonts w:hint="eastAsia" w:ascii="宋体" w:hAnsi="宋体" w:cs="宋体"/>
          <w:color w:val="auto"/>
        </w:rPr>
        <w:t>人，其余</w:t>
      </w:r>
      <w:r>
        <w:rPr>
          <w:rFonts w:ascii="宋体" w:hAnsi="宋体" w:cs="宋体"/>
          <w:color w:val="auto"/>
        </w:rPr>
        <w:t>1</w:t>
      </w:r>
      <w:r>
        <w:rPr>
          <w:rFonts w:hint="eastAsia" w:ascii="宋体" w:hAnsi="宋体" w:cs="宋体"/>
          <w:color w:val="auto"/>
        </w:rPr>
        <w:t>人可为采购人代表或莆田市信成造价咨询有限公司的工作人员。</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1.2</w:t>
      </w:r>
      <w:r>
        <w:rPr>
          <w:rFonts w:hint="eastAsia" w:ascii="宋体" w:hAnsi="宋体" w:cs="宋体"/>
          <w:color w:val="auto"/>
        </w:rPr>
        <w:t>资格审查的依据是招标文件和投标文件。</w:t>
      </w:r>
    </w:p>
    <w:p>
      <w:pPr>
        <w:pStyle w:val="15"/>
        <w:keepNext w:val="0"/>
        <w:keepLines w:val="0"/>
        <w:pageBreakBefore w:val="0"/>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1.3</w:t>
      </w:r>
      <w:r>
        <w:rPr>
          <w:rFonts w:hint="eastAsia" w:ascii="宋体" w:hAnsi="宋体" w:cs="宋体"/>
          <w:color w:val="auto"/>
        </w:rPr>
        <w:t>资格审查的范围及内容：投标文件（资格及资信证明部分），具体如下：</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①“投标函”；</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②“投标人的资格及资信证明文件”</w:t>
      </w:r>
    </w:p>
    <w:p>
      <w:pPr>
        <w:keepNext w:val="0"/>
        <w:keepLines w:val="0"/>
        <w:pageBreakBefore w:val="0"/>
        <w:widowControl/>
        <w:numPr>
          <w:ilvl w:val="0"/>
          <w:numId w:val="4"/>
        </w:numPr>
        <w:kinsoku/>
        <w:wordWrap/>
        <w:overflowPunct/>
        <w:topLinePunct w:val="0"/>
        <w:autoSpaceDE/>
        <w:autoSpaceDN/>
        <w:bidi w:val="0"/>
        <w:snapToGrid/>
        <w:spacing w:beforeAutospacing="0" w:afterAutospacing="0" w:line="440" w:lineRule="exact"/>
        <w:ind w:firstLine="480"/>
        <w:jc w:val="left"/>
        <w:textAlignment w:val="auto"/>
        <w:rPr>
          <w:rFonts w:hint="eastAsia" w:ascii="宋体" w:hAnsi="宋体" w:cs="宋体"/>
          <w:color w:val="auto"/>
          <w:kern w:val="0"/>
          <w:sz w:val="24"/>
        </w:rPr>
      </w:pPr>
      <w:r>
        <w:rPr>
          <w:rFonts w:hint="eastAsia" w:ascii="宋体" w:hAnsi="宋体" w:cs="宋体"/>
          <w:color w:val="auto"/>
          <w:kern w:val="0"/>
          <w:sz w:val="24"/>
        </w:rPr>
        <w:t>一般资格证明文件：</w:t>
      </w:r>
    </w:p>
    <w:tbl>
      <w:tblPr>
        <w:tblStyle w:val="1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889"/>
        <w:gridCol w:w="7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b/>
              </w:rPr>
            </w:pPr>
            <w:r>
              <w:rPr>
                <w:rFonts w:ascii="宋体" w:hAnsi="宋体" w:eastAsia="宋体" w:cs="宋体"/>
                <w:b/>
                <w:kern w:val="0"/>
                <w:sz w:val="24"/>
                <w:szCs w:val="24"/>
                <w:lang w:val="en-US" w:eastAsia="zh-CN" w:bidi="ar"/>
              </w:rPr>
              <w:t>明细</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单位负责人授权书（若有）</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w:t>
            </w:r>
            <w:r>
              <w:rPr>
                <w:rFonts w:hint="eastAsia" w:ascii="宋体" w:hAnsi="宋体" w:cs="宋体"/>
                <w:kern w:val="0"/>
                <w:sz w:val="24"/>
                <w:szCs w:val="24"/>
                <w:lang w:val="en-US" w:eastAsia="zh-CN" w:bidi="ar"/>
              </w:rPr>
              <w:t>3</w:t>
            </w:r>
            <w:r>
              <w:rPr>
                <w:rFonts w:ascii="宋体" w:hAnsi="宋体" w:eastAsia="宋体" w:cs="宋体"/>
                <w:kern w:val="0"/>
                <w:sz w:val="24"/>
                <w:szCs w:val="24"/>
                <w:lang w:val="en-US" w:eastAsia="zh-CN" w:bidi="ar"/>
              </w:rPr>
              <w:t>、纸质投标文件正本中的本授权书（若有）应为原件。※投标人应按照招标文件第七章规定提供。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营业执照等证明文件</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财务状况报告（财务报告、或资信证明）</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其中：投标人选择提供资信证明的，还应附上其开户（基本存款账户）许可证复印件。</w:t>
            </w: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依法缴纳税收证明材料</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依法缴纳社会保障资金证明材料</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具备履行合同所必需设备和专业技术能力的声明函（若有）</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参加采购活动前三年内在经营活动中没有重大违法记录书面声明</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信用记录查询结果</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中小企业声明函（专门面向中小企业或小型、微型企业适用，若有）</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联合体协议（若有）</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1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检察机关行贿犯罪档案查询结果告知函（若有）</w:t>
            </w:r>
          </w:p>
        </w:tc>
        <w:tc>
          <w:tcPr>
            <w:tcW w:w="398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③投标保证金。</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1.4</w:t>
      </w:r>
      <w:r>
        <w:rPr>
          <w:rFonts w:hint="eastAsia" w:ascii="宋体" w:hAnsi="宋体" w:cs="宋体"/>
          <w:color w:val="auto"/>
          <w:kern w:val="0"/>
          <w:sz w:val="24"/>
        </w:rPr>
        <w:t>有下列情形之一的，</w:t>
      </w:r>
      <w:r>
        <w:rPr>
          <w:rFonts w:hint="eastAsia" w:ascii="宋体" w:hAnsi="宋体" w:cs="宋体"/>
          <w:b/>
          <w:bCs/>
          <w:color w:val="auto"/>
          <w:kern w:val="0"/>
          <w:sz w:val="24"/>
        </w:rPr>
        <w:t>资格审查不合格：</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①一般情形：</w:t>
      </w:r>
    </w:p>
    <w:tbl>
      <w:tblPr>
        <w:tblStyle w:val="16"/>
        <w:tblW w:w="9538"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4"/>
        <w:gridCol w:w="8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15" w:type="dxa"/>
        </w:trPr>
        <w:tc>
          <w:tcPr>
            <w:tcW w:w="75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color w:val="auto"/>
                <w:kern w:val="0"/>
                <w:sz w:val="24"/>
              </w:rPr>
              <w:t>序号</w:t>
            </w:r>
          </w:p>
        </w:tc>
        <w:tc>
          <w:tcPr>
            <w:tcW w:w="86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color w:val="auto"/>
                <w:kern w:val="0"/>
                <w:sz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tblCellSpacing w:w="15" w:type="dxa"/>
        </w:trPr>
        <w:tc>
          <w:tcPr>
            <w:tcW w:w="75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hAnsi="宋体" w:cs="宋体"/>
                <w:color w:val="auto"/>
                <w:kern w:val="0"/>
                <w:sz w:val="24"/>
              </w:rPr>
            </w:pPr>
            <w:r>
              <w:rPr>
                <w:rFonts w:ascii="宋体" w:hAnsi="宋体" w:cs="宋体"/>
                <w:color w:val="auto"/>
                <w:kern w:val="0"/>
                <w:sz w:val="24"/>
              </w:rPr>
              <w:t>a1</w:t>
            </w:r>
          </w:p>
        </w:tc>
        <w:tc>
          <w:tcPr>
            <w:tcW w:w="8689" w:type="dxa"/>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hint="eastAsia" w:ascii="宋体" w:hAnsi="宋体" w:cs="宋体"/>
                <w:color w:val="auto"/>
                <w:kern w:val="0"/>
                <w:sz w:val="24"/>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5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hAnsi="宋体" w:cs="宋体"/>
                <w:color w:val="auto"/>
                <w:kern w:val="0"/>
                <w:sz w:val="24"/>
              </w:rPr>
            </w:pPr>
            <w:r>
              <w:rPr>
                <w:rFonts w:ascii="宋体" w:hAnsi="宋体" w:cs="宋体"/>
                <w:color w:val="auto"/>
                <w:kern w:val="0"/>
                <w:sz w:val="24"/>
              </w:rPr>
              <w:t>a2</w:t>
            </w:r>
          </w:p>
        </w:tc>
        <w:tc>
          <w:tcPr>
            <w:tcW w:w="8689" w:type="dxa"/>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hint="eastAsia" w:ascii="宋体" w:hAnsi="宋体" w:cs="宋体"/>
                <w:color w:val="auto"/>
                <w:kern w:val="0"/>
                <w:sz w:val="24"/>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2" w:hRule="atLeast"/>
          <w:tblCellSpacing w:w="15" w:type="dxa"/>
        </w:trPr>
        <w:tc>
          <w:tcPr>
            <w:tcW w:w="75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hAnsi="宋体" w:cs="宋体"/>
                <w:color w:val="auto"/>
                <w:kern w:val="0"/>
                <w:sz w:val="24"/>
              </w:rPr>
            </w:pPr>
            <w:r>
              <w:rPr>
                <w:rFonts w:ascii="宋体" w:hAnsi="宋体" w:cs="宋体"/>
                <w:color w:val="auto"/>
                <w:kern w:val="0"/>
                <w:sz w:val="24"/>
              </w:rPr>
              <w:t>a3</w:t>
            </w:r>
          </w:p>
        </w:tc>
        <w:tc>
          <w:tcPr>
            <w:tcW w:w="8689" w:type="dxa"/>
            <w:tcMar>
              <w:top w:w="0" w:type="dxa"/>
              <w:left w:w="105" w:type="dxa"/>
              <w:bottom w:w="0" w:type="dxa"/>
              <w:right w:w="105" w:type="dxa"/>
            </w:tcMa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hint="eastAsia" w:ascii="宋体" w:hAnsi="宋体" w:cs="宋体"/>
                <w:color w:val="auto"/>
                <w:kern w:val="0"/>
                <w:sz w:val="24"/>
              </w:rPr>
              <w:t>未按照招标文件规定提交投标保证金。</w:t>
            </w:r>
          </w:p>
        </w:tc>
      </w:tr>
    </w:tbl>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1.5</w:t>
      </w:r>
      <w:r>
        <w:rPr>
          <w:rFonts w:hint="eastAsia" w:ascii="宋体" w:hAnsi="宋体" w:cs="宋体"/>
          <w:color w:val="auto"/>
          <w:kern w:val="0"/>
          <w:sz w:val="24"/>
        </w:rPr>
        <w:t>若本项目接受联合体投标且投标人为联合体，联合体中有同类资质的供应商按照联合体分工承担相同工作的，应先按照资质等级较低的供应商确定资质等级，再按照本章第</w:t>
      </w:r>
      <w:r>
        <w:rPr>
          <w:rFonts w:ascii="宋体" w:hAnsi="宋体" w:cs="宋体"/>
          <w:color w:val="auto"/>
          <w:kern w:val="0"/>
          <w:sz w:val="24"/>
        </w:rPr>
        <w:t>1.2</w:t>
      </w:r>
      <w:r>
        <w:rPr>
          <w:rFonts w:hint="eastAsia" w:ascii="宋体" w:hAnsi="宋体" w:cs="宋体"/>
          <w:color w:val="auto"/>
          <w:kern w:val="0"/>
          <w:sz w:val="24"/>
        </w:rPr>
        <w:t>、</w:t>
      </w:r>
      <w:r>
        <w:rPr>
          <w:rFonts w:ascii="宋体" w:hAnsi="宋体" w:cs="宋体"/>
          <w:color w:val="auto"/>
          <w:kern w:val="0"/>
          <w:sz w:val="24"/>
        </w:rPr>
        <w:t>1.3</w:t>
      </w:r>
      <w:r>
        <w:rPr>
          <w:rFonts w:hint="eastAsia" w:ascii="宋体" w:hAnsi="宋体" w:cs="宋体"/>
          <w:color w:val="auto"/>
          <w:kern w:val="0"/>
          <w:sz w:val="24"/>
        </w:rPr>
        <w:t>、</w:t>
      </w:r>
      <w:r>
        <w:rPr>
          <w:rFonts w:ascii="宋体" w:hAnsi="宋体" w:cs="宋体"/>
          <w:color w:val="auto"/>
          <w:kern w:val="0"/>
          <w:sz w:val="24"/>
        </w:rPr>
        <w:t>1.4</w:t>
      </w:r>
      <w:r>
        <w:rPr>
          <w:rFonts w:hint="eastAsia" w:ascii="宋体" w:hAnsi="宋体" w:cs="宋体"/>
          <w:color w:val="auto"/>
          <w:kern w:val="0"/>
          <w:sz w:val="24"/>
        </w:rPr>
        <w:t>条规定进行资格审查。</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、资格审查情况不得私自外泄，有关信息由莆田市信成造价咨询有限公司统一对外发布。</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、资格审查合格的投标人不足三家的，不进行评标。同时，本次采购活动结束，莆田市信成造价咨询有限公司将依法组织后续采购活动（包括但不限于：重新招标、采用其他方式采购等）。</w:t>
      </w:r>
    </w:p>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b/>
          <w:bCs/>
          <w:color w:val="auto"/>
          <w:kern w:val="0"/>
          <w:sz w:val="24"/>
        </w:rPr>
      </w:pPr>
      <w:r>
        <w:rPr>
          <w:rFonts w:ascii="宋体" w:cs="宋体"/>
          <w:color w:val="auto"/>
          <w:kern w:val="0"/>
          <w:sz w:val="24"/>
        </w:rPr>
        <w:t> </w:t>
      </w:r>
      <w:r>
        <w:rPr>
          <w:rFonts w:hint="eastAsia" w:ascii="宋体" w:hAnsi="宋体" w:cs="宋体"/>
          <w:b/>
          <w:bCs/>
          <w:color w:val="auto"/>
          <w:kern w:val="0"/>
          <w:sz w:val="24"/>
        </w:rPr>
        <w:t>二、评标</w:t>
      </w:r>
    </w:p>
    <w:p>
      <w:pPr>
        <w:pStyle w:val="2"/>
        <w:keepNext w:val="0"/>
        <w:keepLines w:val="0"/>
        <w:pageBreakBefore w:val="0"/>
        <w:kinsoku/>
        <w:wordWrap/>
        <w:overflowPunct/>
        <w:topLinePunct w:val="0"/>
        <w:autoSpaceDE/>
        <w:autoSpaceDN/>
        <w:bidi w:val="0"/>
        <w:snapToGrid/>
        <w:spacing w:beforeAutospacing="0" w:after="0" w:afterAutospacing="0" w:line="440" w:lineRule="exact"/>
        <w:ind w:left="31680" w:firstLine="31680"/>
        <w:textAlignment w:val="auto"/>
        <w:rPr>
          <w:color w:val="auto"/>
        </w:rPr>
      </w:pP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、资格审查结束后，由莆田市信成造价咨询有限公司负责评标委员会的组建及评标工作的组织。</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、评标委员会</w:t>
      </w:r>
    </w:p>
    <w:p>
      <w:pPr>
        <w:pStyle w:val="15"/>
        <w:keepNext w:val="0"/>
        <w:keepLines w:val="0"/>
        <w:pageBreakBefore w:val="0"/>
        <w:widowControl/>
        <w:kinsoku/>
        <w:wordWrap/>
        <w:overflowPunct/>
        <w:topLinePunct w:val="0"/>
        <w:autoSpaceDE/>
        <w:autoSpaceDN/>
        <w:bidi w:val="0"/>
        <w:snapToGrid/>
        <w:spacing w:beforeAutospacing="0" w:afterAutospacing="0" w:line="440" w:lineRule="exact"/>
        <w:textAlignment w:val="auto"/>
        <w:rPr>
          <w:rFonts w:hint="eastAsia" w:ascii="宋体" w:eastAsia="宋体" w:cs="宋体"/>
          <w:color w:val="0000FF"/>
          <w:kern w:val="0"/>
          <w:lang w:val="en-US" w:eastAsia="zh-CN"/>
        </w:rPr>
      </w:pPr>
      <w:r>
        <w:rPr>
          <w:rFonts w:ascii="宋体" w:hAnsi="宋体" w:cs="宋体"/>
          <w:color w:val="auto"/>
          <w:kern w:val="0"/>
        </w:rPr>
        <w:t>5.1</w:t>
      </w:r>
      <w:r>
        <w:rPr>
          <w:rFonts w:ascii="宋体" w:hAnsi="宋体" w:cs="宋体"/>
          <w:color w:val="auto"/>
          <w:kern w:val="0"/>
          <w:sz w:val="24"/>
          <w:szCs w:val="24"/>
        </w:rPr>
        <w:t>评标委员会由</w:t>
      </w:r>
      <w:r>
        <w:rPr>
          <w:rFonts w:hint="eastAsia" w:ascii="宋体" w:hAnsi="宋体" w:cs="宋体"/>
          <w:color w:val="auto"/>
          <w:kern w:val="0"/>
          <w:sz w:val="24"/>
          <w:szCs w:val="24"/>
          <w:lang w:eastAsia="zh-CN"/>
        </w:rPr>
        <w:t>莆田市专家库里随机抽取产生的，</w:t>
      </w:r>
      <w:r>
        <w:rPr>
          <w:rFonts w:ascii="宋体" w:hAnsi="宋体" w:cs="宋体"/>
          <w:color w:val="auto"/>
          <w:kern w:val="0"/>
          <w:sz w:val="24"/>
          <w:szCs w:val="24"/>
        </w:rPr>
        <w:t>共</w:t>
      </w:r>
      <w:r>
        <w:rPr>
          <w:rFonts w:ascii="宋体" w:hAnsi="宋体" w:cs="宋体"/>
          <w:color w:val="auto"/>
          <w:kern w:val="0"/>
          <w:sz w:val="24"/>
          <w:szCs w:val="24"/>
          <w:u w:val="single"/>
        </w:rPr>
        <w:t>5</w:t>
      </w:r>
      <w:r>
        <w:rPr>
          <w:rFonts w:ascii="宋体" w:hAnsi="宋体" w:cs="宋体"/>
          <w:color w:val="auto"/>
          <w:kern w:val="0"/>
          <w:sz w:val="24"/>
          <w:szCs w:val="24"/>
        </w:rPr>
        <w:t>人（以下简称“评委”）组成</w:t>
      </w:r>
      <w:r>
        <w:rPr>
          <w:rFonts w:hint="eastAsia" w:ascii="宋体" w:hAnsi="宋体" w:cs="宋体"/>
          <w:color w:val="auto"/>
          <w:kern w:val="0"/>
          <w:sz w:val="24"/>
          <w:szCs w:val="24"/>
          <w:lang w:val="en-US" w:eastAsia="zh-CN"/>
        </w:rPr>
        <w:t>。</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5.2</w:t>
      </w:r>
      <w:r>
        <w:rPr>
          <w:rFonts w:hint="eastAsia" w:ascii="宋体" w:hAnsi="宋体" w:cs="宋体"/>
          <w:color w:val="auto"/>
          <w:kern w:val="0"/>
          <w:sz w:val="24"/>
        </w:rPr>
        <w:t>评标委员会负责具体评标事务，并按照下列原则依法独立履行有关职责：</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）评标应保护国家利益、社会公共利益和各方当事人合法权益，提高采购效益，保证项目质量。</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）评标应遵循公平、公正、科学、严谨和择优原则。</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）评标的依据是招标文件和投标文件。</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）应按照招标文件规定推荐中标候选人或确定中标人。</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）评标应遵守下列评标纪律：</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①评标情况不得私自外泄，有关信息由莆田市信成造价咨询有限公司统一对外发布。</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②对莆田市信成造价咨询有限公司或投标人提供的要求保密的资料，不得摘记翻印和外传。</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③不得收受投标人或有关人员的任何礼物，不得串联鼓动其他人袒护某投标人。若与投标人存在利害关系，则应主动声明并回避。</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④全体评委应按照招标文件规定进行评标，一切认定事项应查有实据且不得弄虚作假。</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⑤评标中应充分发扬民主，推荐中标候选人或确定中标人后要服从评标报告。</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b/>
          <w:bCs/>
          <w:color w:val="auto"/>
          <w:kern w:val="0"/>
          <w:sz w:val="24"/>
        </w:rPr>
        <w:t>※对违反评标纪律的评委，将取消其评委资格，对评标工作造成严重损失者将予以通报批评乃至追究法律责任。</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w:t>
      </w:r>
      <w:r>
        <w:rPr>
          <w:rFonts w:hint="eastAsia" w:ascii="宋体" w:hAnsi="宋体" w:cs="宋体"/>
          <w:color w:val="auto"/>
          <w:kern w:val="0"/>
          <w:sz w:val="24"/>
        </w:rPr>
        <w:t>、评标程序</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6.1</w:t>
      </w:r>
      <w:r>
        <w:rPr>
          <w:rFonts w:hint="eastAsia" w:ascii="宋体" w:hAnsi="宋体" w:cs="宋体"/>
          <w:color w:val="auto"/>
          <w:kern w:val="0"/>
          <w:sz w:val="24"/>
        </w:rPr>
        <w:t>评标前的准备工作</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）全体评委应认真审阅招标文件，了解评委应履行或遵守的职责、义务和评标纪律。</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）参加评标委员会的采购人代表可对本项目的背景和采购需求进行介绍，介绍材料应以书面形式提交（随采购文件一并存档），介绍内容不得含有歧视性、倾向性意见，不得超出招标文件所述范围。</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6.2</w:t>
      </w:r>
      <w:r>
        <w:rPr>
          <w:rFonts w:hint="eastAsia" w:ascii="宋体" w:hAnsi="宋体" w:cs="宋体"/>
          <w:color w:val="auto"/>
          <w:kern w:val="0"/>
          <w:sz w:val="24"/>
        </w:rPr>
        <w:t>符合性审查</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）评标委员会依据招标文件的实质性要求，对通过资格审查的投标文件进行符合性审查，以确定其是否满足招标文件的实质性要求。</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）满足招标文件的实质性要求指投标文件对招标文件实质性要求的响应不存在重大偏差或保留。</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）评标委员会对所有投标人都执行相同的程序和标准。</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6</w:t>
      </w:r>
      <w:r>
        <w:rPr>
          <w:rFonts w:hint="eastAsia" w:ascii="宋体" w:hAnsi="宋体" w:cs="宋体"/>
          <w:color w:val="auto"/>
          <w:kern w:val="0"/>
          <w:sz w:val="24"/>
        </w:rPr>
        <w:t>）有下列情形之一的，</w:t>
      </w:r>
      <w:r>
        <w:rPr>
          <w:rFonts w:hint="eastAsia" w:ascii="宋体" w:hAnsi="宋体" w:cs="宋体"/>
          <w:b/>
          <w:bCs/>
          <w:color w:val="auto"/>
          <w:kern w:val="0"/>
          <w:sz w:val="24"/>
        </w:rPr>
        <w:t>符合性审查不合格：</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①一般情形：</w:t>
      </w:r>
    </w:p>
    <w:tbl>
      <w:tblPr>
        <w:tblStyle w:val="16"/>
        <w:tblW w:w="94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48"/>
        <w:gridCol w:w="8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blCellSpacing w:w="15" w:type="dxa"/>
        </w:trPr>
        <w:tc>
          <w:tcPr>
            <w:tcW w:w="903"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color w:val="auto"/>
                <w:kern w:val="0"/>
                <w:sz w:val="24"/>
              </w:rPr>
              <w:t>序号</w:t>
            </w:r>
          </w:p>
        </w:tc>
        <w:tc>
          <w:tcPr>
            <w:tcW w:w="84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cs="宋体"/>
                <w:color w:val="auto"/>
                <w:kern w:val="0"/>
                <w:sz w:val="24"/>
              </w:rPr>
            </w:pPr>
            <w:r>
              <w:rPr>
                <w:rFonts w:hint="eastAsia" w:ascii="宋体" w:hAnsi="宋体" w:cs="宋体"/>
                <w:color w:val="auto"/>
                <w:kern w:val="0"/>
                <w:sz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tblCellSpacing w:w="15" w:type="dxa"/>
        </w:trPr>
        <w:tc>
          <w:tcPr>
            <w:tcW w:w="903"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hAnsi="宋体" w:cs="宋体"/>
                <w:color w:val="auto"/>
                <w:kern w:val="0"/>
                <w:sz w:val="24"/>
              </w:rPr>
            </w:pPr>
            <w:r>
              <w:rPr>
                <w:rFonts w:ascii="宋体" w:hAnsi="宋体" w:cs="宋体"/>
                <w:color w:val="auto"/>
                <w:kern w:val="0"/>
                <w:sz w:val="24"/>
              </w:rPr>
              <w:t>a1</w:t>
            </w:r>
          </w:p>
        </w:tc>
        <w:tc>
          <w:tcPr>
            <w:tcW w:w="84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hint="eastAsia" w:ascii="宋体" w:hAnsi="宋体" w:cs="宋体"/>
                <w:color w:val="auto"/>
                <w:kern w:val="0"/>
                <w:sz w:val="24"/>
              </w:rPr>
              <w:t>违反招标文件中载明“</w:t>
            </w:r>
            <w:r>
              <w:rPr>
                <w:rFonts w:hint="eastAsia" w:ascii="宋体" w:hAnsi="宋体" w:cs="宋体"/>
                <w:b/>
                <w:bCs/>
                <w:color w:val="auto"/>
                <w:kern w:val="0"/>
                <w:sz w:val="24"/>
              </w:rPr>
              <w:t>投标无效</w:t>
            </w:r>
            <w:r>
              <w:rPr>
                <w:rFonts w:hint="eastAsia" w:ascii="宋体" w:hAnsi="宋体" w:cs="宋体"/>
                <w:color w:val="auto"/>
                <w:kern w:val="0"/>
                <w:sz w:val="24"/>
              </w:rPr>
              <w:t>”条款的规定；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4" w:hRule="atLeast"/>
          <w:tblCellSpacing w:w="15" w:type="dxa"/>
        </w:trPr>
        <w:tc>
          <w:tcPr>
            <w:tcW w:w="903"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hAnsi="宋体" w:cs="宋体"/>
                <w:color w:val="auto"/>
                <w:kern w:val="0"/>
                <w:sz w:val="24"/>
              </w:rPr>
            </w:pPr>
            <w:r>
              <w:rPr>
                <w:rFonts w:ascii="宋体" w:hAnsi="宋体" w:cs="宋体"/>
                <w:color w:val="auto"/>
                <w:kern w:val="0"/>
                <w:sz w:val="24"/>
              </w:rPr>
              <w:t>a2</w:t>
            </w:r>
          </w:p>
        </w:tc>
        <w:tc>
          <w:tcPr>
            <w:tcW w:w="84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hint="eastAsia" w:ascii="宋体" w:hAnsi="宋体" w:cs="宋体"/>
                <w:color w:val="auto"/>
                <w:kern w:val="0"/>
                <w:sz w:val="24"/>
              </w:rPr>
              <w:t>属于招标文件第三章第</w:t>
            </w:r>
            <w:r>
              <w:rPr>
                <w:rFonts w:ascii="宋体" w:hAnsi="宋体" w:cs="宋体"/>
                <w:color w:val="auto"/>
                <w:kern w:val="0"/>
                <w:sz w:val="24"/>
              </w:rPr>
              <w:t>10.12</w:t>
            </w:r>
            <w:r>
              <w:rPr>
                <w:rFonts w:hint="eastAsia" w:ascii="宋体" w:hAnsi="宋体" w:cs="宋体"/>
                <w:color w:val="auto"/>
                <w:kern w:val="0"/>
                <w:sz w:val="24"/>
              </w:rPr>
              <w:t>条规定的</w:t>
            </w:r>
            <w:r>
              <w:rPr>
                <w:rFonts w:hint="eastAsia" w:ascii="宋体" w:hAnsi="宋体" w:cs="宋体"/>
                <w:b/>
                <w:bCs/>
                <w:color w:val="auto"/>
                <w:kern w:val="0"/>
                <w:sz w:val="24"/>
              </w:rPr>
              <w:t>投标无效</w:t>
            </w:r>
            <w:r>
              <w:rPr>
                <w:rFonts w:hint="eastAsia" w:ascii="宋体" w:hAnsi="宋体" w:cs="宋体"/>
                <w:color w:val="auto"/>
                <w:kern w:val="0"/>
                <w:sz w:val="24"/>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blCellSpacing w:w="15" w:type="dxa"/>
        </w:trPr>
        <w:tc>
          <w:tcPr>
            <w:tcW w:w="903"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rFonts w:ascii="宋体" w:hAnsi="宋体" w:cs="宋体"/>
                <w:color w:val="auto"/>
                <w:kern w:val="0"/>
                <w:sz w:val="24"/>
              </w:rPr>
            </w:pPr>
            <w:r>
              <w:rPr>
                <w:rFonts w:ascii="宋体" w:hAnsi="宋体" w:cs="宋体"/>
                <w:color w:val="auto"/>
                <w:kern w:val="0"/>
                <w:sz w:val="24"/>
              </w:rPr>
              <w:t>a3</w:t>
            </w:r>
          </w:p>
        </w:tc>
        <w:tc>
          <w:tcPr>
            <w:tcW w:w="8487"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hint="eastAsia" w:ascii="宋体" w:hAnsi="宋体" w:cs="宋体"/>
                <w:color w:val="auto"/>
                <w:kern w:val="0"/>
                <w:sz w:val="24"/>
              </w:rPr>
              <w:t>投标文件对招标文件实质性要求的响应存在重大偏离或保留。</w:t>
            </w:r>
          </w:p>
        </w:tc>
      </w:tr>
    </w:tbl>
    <w:p>
      <w:pPr>
        <w:pStyle w:val="15"/>
        <w:keepNext w:val="0"/>
        <w:keepLines w:val="0"/>
        <w:pageBreakBefore w:val="0"/>
        <w:widowControl/>
        <w:kinsoku/>
        <w:wordWrap/>
        <w:overflowPunct/>
        <w:topLinePunct w:val="0"/>
        <w:autoSpaceDE/>
        <w:autoSpaceDN/>
        <w:bidi w:val="0"/>
        <w:snapToGrid/>
        <w:spacing w:beforeAutospacing="0" w:afterAutospacing="0" w:line="440" w:lineRule="exact"/>
        <w:ind w:firstLine="480"/>
        <w:textAlignment w:val="auto"/>
        <w:rPr>
          <w:color w:val="auto"/>
        </w:rPr>
      </w:pPr>
      <w:r>
        <w:rPr>
          <w:rFonts w:hint="eastAsia" w:ascii="宋体" w:hAnsi="宋体" w:cs="宋体"/>
          <w:color w:val="auto"/>
        </w:rPr>
        <w:t>②本项目规定的其他情形：</w:t>
      </w:r>
      <w:r>
        <w:rPr>
          <w:rFonts w:ascii="宋体" w:cs="宋体"/>
          <w:color w:val="auto"/>
        </w:rPr>
        <w:br w:type="textWrapping"/>
      </w:r>
      <w:r>
        <w:rPr>
          <w:rStyle w:val="20"/>
          <w:color w:val="auto"/>
        </w:rPr>
        <w:t>         </w:t>
      </w:r>
      <w:r>
        <w:rPr>
          <w:rStyle w:val="20"/>
          <w:rFonts w:hint="eastAsia"/>
          <w:color w:val="auto"/>
        </w:rPr>
        <w:t>无</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color w:val="auto"/>
        </w:rPr>
      </w:pPr>
      <w:r>
        <w:rPr>
          <w:rFonts w:hint="eastAsia" w:ascii="宋体" w:hAnsi="宋体" w:cs="宋体"/>
          <w:color w:val="auto"/>
          <w:kern w:val="0"/>
          <w:sz w:val="24"/>
        </w:rPr>
        <w:t>技术符合性</w:t>
      </w:r>
      <w:r>
        <w:rPr>
          <w:rFonts w:ascii="宋体" w:hAnsi="宋体" w:cs="宋体"/>
          <w:color w:val="auto"/>
          <w:kern w:val="0"/>
          <w:sz w:val="24"/>
        </w:rPr>
        <w:t xml:space="preserve"> </w:t>
      </w:r>
    </w:p>
    <w:tbl>
      <w:tblPr>
        <w:tblStyle w:val="16"/>
        <w:tblW w:w="933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330" w:type="dxa"/>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b/>
                <w:color w:val="auto"/>
              </w:rPr>
            </w:pPr>
            <w:r>
              <w:rPr>
                <w:rFonts w:hint="eastAsia" w:ascii="宋体" w:hAnsi="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30"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440" w:lineRule="exact"/>
              <w:jc w:val="left"/>
              <w:textAlignment w:val="auto"/>
              <w:rPr>
                <w:color w:val="auto"/>
              </w:rPr>
            </w:pPr>
            <w:r>
              <w:rPr>
                <w:rFonts w:ascii="宋体" w:hAnsi="宋体" w:eastAsia="宋体" w:cs="宋体"/>
                <w:kern w:val="0"/>
                <w:sz w:val="24"/>
                <w:szCs w:val="24"/>
                <w:lang w:val="en-US" w:eastAsia="zh-CN" w:bidi="ar"/>
              </w:rPr>
              <w:t>技术部分中不得出现报价部分的全部或部分的投标报价信息（或组成资料），否则符合性审查不合格。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30"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440" w:lineRule="exact"/>
              <w:jc w:val="left"/>
              <w:textAlignment w:val="auto"/>
              <w:rPr>
                <w:rFonts w:ascii="宋体" w:hAnsi="宋体" w:cs="宋体"/>
                <w:color w:val="auto"/>
                <w:kern w:val="0"/>
                <w:sz w:val="24"/>
              </w:rPr>
            </w:pPr>
            <w:r>
              <w:rPr>
                <w:rFonts w:ascii="宋体" w:hAnsi="宋体" w:eastAsia="宋体" w:cs="宋体"/>
                <w:kern w:val="0"/>
                <w:sz w:val="24"/>
                <w:szCs w:val="24"/>
                <w:highlight w:val="none"/>
                <w:lang w:val="en-US" w:eastAsia="zh-CN" w:bidi="ar"/>
              </w:rPr>
              <w:t xml:space="preserve">投标人的投标文件不满足招标文件“第五章 </w:t>
            </w:r>
            <w:r>
              <w:rPr>
                <w:rFonts w:hint="eastAsia" w:ascii="宋体" w:hAnsi="宋体" w:cs="宋体"/>
                <w:kern w:val="0"/>
                <w:sz w:val="24"/>
                <w:szCs w:val="24"/>
                <w:highlight w:val="none"/>
                <w:lang w:val="en-US" w:eastAsia="zh-CN" w:bidi="ar"/>
              </w:rPr>
              <w:t>一</w:t>
            </w:r>
            <w:r>
              <w:rPr>
                <w:rFonts w:ascii="宋体" w:hAnsi="宋体" w:eastAsia="宋体" w:cs="宋体"/>
                <w:kern w:val="0"/>
                <w:sz w:val="24"/>
                <w:szCs w:val="24"/>
                <w:highlight w:val="none"/>
                <w:lang w:val="en-US" w:eastAsia="zh-CN" w:bidi="ar"/>
              </w:rPr>
              <w:t>、技术和服务要求”中的任何一项要求的，其投标无效。</w:t>
            </w:r>
          </w:p>
        </w:tc>
      </w:tr>
    </w:tbl>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color w:val="auto"/>
        </w:rPr>
      </w:pPr>
      <w:r>
        <w:rPr>
          <w:rFonts w:hint="eastAsia" w:ascii="宋体" w:hAnsi="宋体" w:cs="宋体"/>
          <w:color w:val="auto"/>
          <w:kern w:val="0"/>
          <w:sz w:val="24"/>
        </w:rPr>
        <w:t>商务符合性</w:t>
      </w:r>
      <w:r>
        <w:rPr>
          <w:rFonts w:ascii="宋体" w:hAnsi="宋体" w:cs="宋体"/>
          <w:color w:val="auto"/>
          <w:kern w:val="0"/>
          <w:sz w:val="24"/>
        </w:rPr>
        <w:t xml:space="preserve"> </w:t>
      </w:r>
    </w:p>
    <w:tbl>
      <w:tblPr>
        <w:tblStyle w:val="16"/>
        <w:tblW w:w="933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330" w:type="dxa"/>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b/>
                <w:color w:val="auto"/>
              </w:rPr>
            </w:pPr>
            <w:r>
              <w:rPr>
                <w:rFonts w:hint="eastAsia" w:ascii="宋体" w:hAnsi="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30"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440" w:lineRule="exact"/>
              <w:jc w:val="left"/>
              <w:textAlignment w:val="auto"/>
              <w:rPr>
                <w:color w:val="auto"/>
              </w:rPr>
            </w:pPr>
            <w:r>
              <w:rPr>
                <w:rFonts w:ascii="宋体" w:hAnsi="宋体" w:eastAsia="宋体" w:cs="宋体"/>
                <w:kern w:val="0"/>
                <w:sz w:val="24"/>
                <w:szCs w:val="24"/>
                <w:highlight w:val="none"/>
                <w:lang w:val="en-US" w:eastAsia="zh-CN" w:bidi="ar"/>
              </w:rPr>
              <w:t xml:space="preserve">投标人的投标文件不满足招标文件“第五章 </w:t>
            </w:r>
            <w:r>
              <w:rPr>
                <w:rFonts w:hint="eastAsia" w:ascii="宋体" w:hAnsi="宋体" w:cs="宋体"/>
                <w:kern w:val="0"/>
                <w:sz w:val="24"/>
                <w:szCs w:val="24"/>
                <w:highlight w:val="none"/>
                <w:lang w:val="en-US" w:eastAsia="zh-CN" w:bidi="ar"/>
              </w:rPr>
              <w:t>二</w:t>
            </w:r>
            <w:r>
              <w:rPr>
                <w:rFonts w:ascii="宋体" w:hAnsi="宋体" w:eastAsia="宋体" w:cs="宋体"/>
                <w:kern w:val="0"/>
                <w:sz w:val="24"/>
                <w:szCs w:val="24"/>
                <w:highlight w:val="none"/>
                <w:lang w:val="en-US" w:eastAsia="zh-CN" w:bidi="ar"/>
              </w:rPr>
              <w:t>、商务条件”中的任何一项要求的，其投标无效。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30"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440" w:lineRule="exact"/>
              <w:jc w:val="left"/>
              <w:textAlignment w:val="auto"/>
              <w:rPr>
                <w:rFonts w:ascii="宋体" w:hAnsi="宋体" w:cs="宋体"/>
                <w:color w:val="auto"/>
                <w:kern w:val="0"/>
                <w:sz w:val="24"/>
              </w:rPr>
            </w:pPr>
            <w:r>
              <w:rPr>
                <w:rFonts w:ascii="宋体" w:hAnsi="宋体" w:eastAsia="宋体" w:cs="宋体"/>
                <w:kern w:val="0"/>
                <w:sz w:val="24"/>
                <w:szCs w:val="24"/>
                <w:lang w:val="en-US" w:eastAsia="zh-CN" w:bidi="ar"/>
              </w:rPr>
              <w:t>商务部分中不得出现报价部分的全部或部分的投标报价信息（或组成资料），否则符合性审查不合格。</w:t>
            </w:r>
          </w:p>
        </w:tc>
      </w:tr>
    </w:tbl>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color w:val="auto"/>
        </w:rPr>
      </w:pPr>
      <w:r>
        <w:rPr>
          <w:rFonts w:ascii="宋体" w:cs="宋体"/>
          <w:color w:val="auto"/>
          <w:kern w:val="0"/>
          <w:sz w:val="24"/>
        </w:rPr>
        <w:br w:type="textWrapping"/>
      </w:r>
      <w:r>
        <w:rPr>
          <w:rFonts w:hint="eastAsia" w:ascii="宋体" w:hAnsi="宋体" w:cs="宋体"/>
          <w:color w:val="auto"/>
          <w:kern w:val="0"/>
          <w:sz w:val="24"/>
        </w:rPr>
        <w:t>价格符合性</w:t>
      </w:r>
      <w:r>
        <w:rPr>
          <w:rFonts w:ascii="宋体" w:hAnsi="宋体" w:cs="宋体"/>
          <w:color w:val="auto"/>
          <w:kern w:val="0"/>
          <w:sz w:val="24"/>
        </w:rPr>
        <w:t xml:space="preserve"> </w:t>
      </w:r>
    </w:p>
    <w:tbl>
      <w:tblPr>
        <w:tblStyle w:val="16"/>
        <w:tblW w:w="931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317" w:type="dxa"/>
            <w:vAlign w:val="center"/>
          </w:tcPr>
          <w:p>
            <w:pPr>
              <w:keepNext w:val="0"/>
              <w:keepLines w:val="0"/>
              <w:pageBreakBefore w:val="0"/>
              <w:widowControl/>
              <w:kinsoku/>
              <w:wordWrap/>
              <w:overflowPunct/>
              <w:topLinePunct w:val="0"/>
              <w:autoSpaceDE/>
              <w:autoSpaceDN/>
              <w:bidi w:val="0"/>
              <w:snapToGrid/>
              <w:spacing w:beforeAutospacing="0" w:afterAutospacing="0" w:line="440" w:lineRule="exact"/>
              <w:jc w:val="center"/>
              <w:textAlignment w:val="auto"/>
              <w:rPr>
                <w:b/>
                <w:color w:val="auto"/>
              </w:rPr>
            </w:pPr>
            <w:r>
              <w:rPr>
                <w:rFonts w:hint="eastAsia" w:ascii="宋体" w:hAnsi="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17"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sz w:val="24"/>
                <w:szCs w:val="24"/>
              </w:rPr>
            </w:pPr>
            <w:r>
              <w:rPr>
                <w:rFonts w:ascii="宋体" w:hAnsi="宋体" w:eastAsia="宋体" w:cs="宋体"/>
                <w:kern w:val="0"/>
                <w:sz w:val="24"/>
                <w:szCs w:val="24"/>
                <w:lang w:val="en-US" w:eastAsia="zh-CN" w:bidi="ar"/>
              </w:rPr>
              <w:t xml:space="preserve">1)投标报价超过招标文件中规定的预算金额（即最高限价）的按无效投标处理。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17"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kern w:val="0"/>
                <w:sz w:val="24"/>
                <w:szCs w:val="24"/>
              </w:rPr>
            </w:pPr>
            <w:r>
              <w:rPr>
                <w:rFonts w:ascii="宋体" w:hAnsi="宋体" w:eastAsia="宋体" w:cs="宋体"/>
                <w:kern w:val="0"/>
                <w:sz w:val="24"/>
                <w:szCs w:val="24"/>
                <w:lang w:val="en-US" w:eastAsia="zh-CN" w:bidi="ar"/>
              </w:rPr>
              <w:t xml:space="preserve">2)投标人提交的是可选择的报价，将被视为未实质性响应招标文件要求，其投标无效。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17"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kern w:val="0"/>
                <w:sz w:val="24"/>
                <w:szCs w:val="24"/>
              </w:rPr>
            </w:pP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）评标委员会认为投标人的报价明显低于其他通过符合性审查投标人的报价，有可能影响产品质量或不能诚信履约的，投标人不能证明其报价合理性的。</w:t>
            </w:r>
          </w:p>
        </w:tc>
      </w:tr>
    </w:tbl>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6.3</w:t>
      </w:r>
      <w:r>
        <w:rPr>
          <w:rFonts w:hint="eastAsia" w:ascii="宋体" w:hAnsi="宋体" w:cs="宋体"/>
          <w:color w:val="auto"/>
          <w:kern w:val="0"/>
          <w:sz w:val="24"/>
        </w:rPr>
        <w:t>澄清有关问题</w:t>
      </w:r>
    </w:p>
    <w:p>
      <w:pPr>
        <w:keepNext w:val="0"/>
        <w:keepLines w:val="0"/>
        <w:pageBreakBefore w:val="0"/>
        <w:widowControl/>
        <w:kinsoku/>
        <w:wordWrap/>
        <w:overflowPunct/>
        <w:topLinePunct w:val="0"/>
        <w:autoSpaceDE/>
        <w:autoSpaceDN/>
        <w:bidi w:val="0"/>
        <w:snapToGrid/>
        <w:spacing w:beforeAutospacing="0" w:afterAutospacing="0" w:line="440" w:lineRule="exact"/>
        <w:ind w:firstLine="42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）对通过符合性审查的投标文件中含义不明确、同类问题表述不一致或有明显文字和计算错误的内容，评标委员会将以书面形式要求投标人作出必要的澄清、说明或补正。</w:t>
      </w:r>
    </w:p>
    <w:p>
      <w:pPr>
        <w:keepNext w:val="0"/>
        <w:keepLines w:val="0"/>
        <w:pageBreakBefore w:val="0"/>
        <w:widowControl/>
        <w:kinsoku/>
        <w:wordWrap/>
        <w:overflowPunct/>
        <w:topLinePunct w:val="0"/>
        <w:autoSpaceDE/>
        <w:autoSpaceDN/>
        <w:bidi w:val="0"/>
        <w:snapToGrid/>
        <w:spacing w:beforeAutospacing="0" w:afterAutospacing="0" w:line="440" w:lineRule="exact"/>
        <w:ind w:firstLine="42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）投标文件报价出现前后不一致的，除招标文件另有规定外，按照下列规定修正：</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①开标一览表内容与投标文件中相应内容不一致的，以开标一览表为准；</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②大写金额和小写金额不一致的，以大写金额为准；</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③单价金额小数点或百分比有明显错位的，以开标一览表的总价为准，并修改单价；</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④总价金额与按照单价汇总金额不一致的，以单价金额计算结果为准。</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b/>
          <w:bCs/>
          <w:color w:val="auto"/>
          <w:kern w:val="0"/>
          <w:sz w:val="24"/>
        </w:rPr>
        <w:t>※同时出现两种以上不一致的，按照前款规定的顺序修正。修正后的报价应按照本章第</w:t>
      </w:r>
      <w:r>
        <w:rPr>
          <w:rFonts w:ascii="宋体" w:hAnsi="宋体" w:cs="宋体"/>
          <w:b/>
          <w:bCs/>
          <w:color w:val="auto"/>
          <w:kern w:val="0"/>
          <w:sz w:val="24"/>
        </w:rPr>
        <w:t>6.3</w:t>
      </w:r>
      <w:r>
        <w:rPr>
          <w:rFonts w:hint="eastAsia" w:ascii="宋体" w:hAnsi="宋体" w:cs="宋体"/>
          <w:b/>
          <w:bCs/>
          <w:color w:val="auto"/>
          <w:kern w:val="0"/>
          <w:sz w:val="24"/>
        </w:rPr>
        <w:t>条第（</w:t>
      </w:r>
      <w:r>
        <w:rPr>
          <w:rFonts w:ascii="宋体" w:hAnsi="宋体" w:cs="宋体"/>
          <w:b/>
          <w:bCs/>
          <w:color w:val="auto"/>
          <w:kern w:val="0"/>
          <w:sz w:val="24"/>
        </w:rPr>
        <w:t>1</w:t>
      </w:r>
      <w:r>
        <w:rPr>
          <w:rFonts w:hint="eastAsia" w:ascii="宋体" w:hAnsi="宋体" w:cs="宋体"/>
          <w:b/>
          <w:bCs/>
          <w:color w:val="auto"/>
          <w:kern w:val="0"/>
          <w:sz w:val="24"/>
        </w:rPr>
        <w:t>）、（</w:t>
      </w:r>
      <w:r>
        <w:rPr>
          <w:rFonts w:ascii="宋体" w:hAnsi="宋体" w:cs="宋体"/>
          <w:b/>
          <w:bCs/>
          <w:color w:val="auto"/>
          <w:kern w:val="0"/>
          <w:sz w:val="24"/>
        </w:rPr>
        <w:t>2</w:t>
      </w:r>
      <w:r>
        <w:rPr>
          <w:rFonts w:hint="eastAsia" w:ascii="宋体" w:hAnsi="宋体" w:cs="宋体"/>
          <w:b/>
          <w:bCs/>
          <w:color w:val="auto"/>
          <w:kern w:val="0"/>
          <w:sz w:val="24"/>
        </w:rPr>
        <w:t>）款规定经投标人确认后产生约束力，投标人不确认的，其投标无效。</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）关于细微偏差</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②评标委员会将以书面形式要求存在细微偏差的投标人在评标委员会规定的时间内予以补正。若无法补正，则评标委员会将按照不利于投标人的内容进行认定。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5</w:t>
      </w:r>
      <w:r>
        <w:rPr>
          <w:rFonts w:hint="eastAsia" w:ascii="宋体" w:hAnsi="宋体" w:cs="宋体"/>
          <w:color w:val="auto"/>
          <w:kern w:val="0"/>
          <w:sz w:val="24"/>
        </w:rPr>
        <w:t>）关于投标描述（即投标文件中描述的内容）</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①投标描述前后不一致且不涉及证明材料的：按照本章第</w:t>
      </w:r>
      <w:r>
        <w:rPr>
          <w:rFonts w:ascii="宋体" w:hAnsi="宋体" w:cs="宋体"/>
          <w:color w:val="auto"/>
          <w:kern w:val="0"/>
          <w:sz w:val="24"/>
        </w:rPr>
        <w:t>6.3</w:t>
      </w:r>
      <w:r>
        <w:rPr>
          <w:rFonts w:hint="eastAsia" w:ascii="宋体" w:hAnsi="宋体" w:cs="宋体"/>
          <w:color w:val="auto"/>
          <w:kern w:val="0"/>
          <w:sz w:val="24"/>
        </w:rPr>
        <w:t>条第（</w:t>
      </w:r>
      <w:r>
        <w:rPr>
          <w:rFonts w:ascii="宋体" w:hAnsi="宋体" w:cs="宋体"/>
          <w:color w:val="auto"/>
          <w:kern w:val="0"/>
          <w:sz w:val="24"/>
        </w:rPr>
        <w:t>1</w:t>
      </w: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）款规定执行。</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②投标描述与证明材料不一致或多份证明材料之间不一致的：</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a.</w:t>
      </w:r>
      <w:r>
        <w:rPr>
          <w:rFonts w:hint="eastAsia" w:ascii="宋体" w:hAnsi="宋体" w:cs="宋体"/>
          <w:color w:val="auto"/>
          <w:kern w:val="0"/>
          <w:sz w:val="24"/>
        </w:rPr>
        <w:t>评标委员会将要求投标人进行书面澄清，并按照不利于投标人的内容进行评标。</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b.</w:t>
      </w:r>
      <w:r>
        <w:rPr>
          <w:rFonts w:hint="eastAsia" w:ascii="宋体" w:hAnsi="宋体" w:cs="宋体"/>
          <w:color w:val="auto"/>
          <w:kern w:val="0"/>
          <w:sz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6.4</w:t>
      </w:r>
      <w:r>
        <w:rPr>
          <w:rFonts w:hint="eastAsia" w:ascii="宋体" w:hAnsi="宋体" w:cs="宋体"/>
          <w:color w:val="auto"/>
          <w:kern w:val="0"/>
          <w:sz w:val="24"/>
        </w:rPr>
        <w:t>比较与评价</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）按照本章第</w:t>
      </w:r>
      <w:r>
        <w:rPr>
          <w:rFonts w:ascii="宋体" w:hAnsi="宋体" w:cs="宋体"/>
          <w:color w:val="auto"/>
          <w:kern w:val="0"/>
          <w:sz w:val="24"/>
        </w:rPr>
        <w:t>7</w:t>
      </w:r>
      <w:r>
        <w:rPr>
          <w:rFonts w:hint="eastAsia" w:ascii="宋体" w:hAnsi="宋体" w:cs="宋体"/>
          <w:color w:val="auto"/>
          <w:kern w:val="0"/>
          <w:sz w:val="24"/>
        </w:rPr>
        <w:t>条载明的评标方法和标准，对符合性审查合格的投标文件进行比较与评价。</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）关于相同品牌产品</w:t>
      </w:r>
      <w:r>
        <w:rPr>
          <w:rFonts w:hint="eastAsia" w:ascii="宋体" w:hAnsi="宋体" w:cs="宋体"/>
          <w:b/>
          <w:bCs/>
          <w:color w:val="auto"/>
          <w:kern w:val="0"/>
          <w:sz w:val="24"/>
        </w:rPr>
        <w:t>（政府采购服务类项目不适用本条款规定）</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a.</w:t>
      </w:r>
      <w:r>
        <w:rPr>
          <w:rFonts w:hint="eastAsia" w:ascii="宋体" w:hAnsi="宋体" w:cs="宋体"/>
          <w:color w:val="auto"/>
          <w:kern w:val="0"/>
          <w:sz w:val="24"/>
        </w:rPr>
        <w:t>招标文件规定的方式：无。</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b.</w:t>
      </w:r>
      <w:r>
        <w:rPr>
          <w:rFonts w:hint="eastAsia" w:ascii="宋体" w:hAnsi="宋体" w:cs="宋体"/>
          <w:color w:val="auto"/>
          <w:kern w:val="0"/>
          <w:sz w:val="24"/>
        </w:rPr>
        <w:t>招标文件未规定的，采取随机抽取方式确定，其他</w:t>
      </w:r>
      <w:r>
        <w:rPr>
          <w:rFonts w:hint="eastAsia" w:ascii="宋体" w:hAnsi="宋体" w:cs="宋体"/>
          <w:b/>
          <w:bCs/>
          <w:color w:val="auto"/>
          <w:kern w:val="0"/>
          <w:sz w:val="24"/>
        </w:rPr>
        <w:t>投标无效。</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a.</w:t>
      </w:r>
      <w:r>
        <w:rPr>
          <w:rFonts w:hint="eastAsia" w:ascii="宋体" w:hAnsi="宋体" w:cs="宋体"/>
          <w:color w:val="auto"/>
          <w:kern w:val="0"/>
          <w:sz w:val="24"/>
        </w:rPr>
        <w:t>招标文件规定的方式：无。</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ascii="宋体" w:hAnsi="宋体" w:cs="宋体"/>
          <w:color w:val="auto"/>
          <w:kern w:val="0"/>
          <w:sz w:val="24"/>
        </w:rPr>
        <w:t>b.</w:t>
      </w:r>
      <w:r>
        <w:rPr>
          <w:rFonts w:hint="eastAsia" w:ascii="宋体" w:hAnsi="宋体" w:cs="宋体"/>
          <w:color w:val="auto"/>
          <w:kern w:val="0"/>
          <w:sz w:val="24"/>
        </w:rPr>
        <w:t>招标文件未规定的，采取随机抽取方式确定，其他同品牌投标人不作为中标候选人。</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③非单一产品采购项目，多家投标人提供的核心产品品牌相同的，按照本章第</w:t>
      </w:r>
      <w:r>
        <w:rPr>
          <w:rFonts w:ascii="宋体" w:hAnsi="宋体" w:cs="宋体"/>
          <w:color w:val="auto"/>
          <w:kern w:val="0"/>
          <w:sz w:val="24"/>
        </w:rPr>
        <w:t>6.4</w:t>
      </w:r>
      <w:r>
        <w:rPr>
          <w:rFonts w:hint="eastAsia" w:ascii="宋体" w:hAnsi="宋体" w:cs="宋体"/>
          <w:color w:val="auto"/>
          <w:kern w:val="0"/>
          <w:sz w:val="24"/>
        </w:rPr>
        <w:t>条第（</w:t>
      </w:r>
      <w:r>
        <w:rPr>
          <w:rFonts w:ascii="宋体" w:hAnsi="宋体" w:cs="宋体"/>
          <w:color w:val="auto"/>
          <w:kern w:val="0"/>
          <w:sz w:val="24"/>
        </w:rPr>
        <w:t>2</w:t>
      </w:r>
      <w:r>
        <w:rPr>
          <w:rFonts w:hint="eastAsia" w:ascii="宋体" w:hAnsi="宋体" w:cs="宋体"/>
          <w:color w:val="auto"/>
          <w:kern w:val="0"/>
          <w:sz w:val="24"/>
        </w:rPr>
        <w:t>）款第①、②规定处理。</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）漏（缺）项</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①招标文件中要求列入报价的费用（含配置、功能），漏（缺）项的报价视为已经包括在投标总价中。</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②对多报项及赠送项的价格评标时不予核减，全部进入评标价评议。</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6.5</w:t>
      </w:r>
      <w:r>
        <w:rPr>
          <w:rFonts w:hint="eastAsia" w:ascii="宋体" w:hAnsi="宋体" w:cs="宋体"/>
          <w:color w:val="auto"/>
          <w:kern w:val="0"/>
          <w:sz w:val="24"/>
        </w:rPr>
        <w:t>推荐中标候选人：详见本章第</w:t>
      </w:r>
      <w:r>
        <w:rPr>
          <w:rFonts w:ascii="宋体" w:hAnsi="宋体" w:cs="宋体"/>
          <w:color w:val="auto"/>
          <w:kern w:val="0"/>
          <w:sz w:val="24"/>
        </w:rPr>
        <w:t>7.2</w:t>
      </w:r>
      <w:r>
        <w:rPr>
          <w:rFonts w:hint="eastAsia" w:ascii="宋体" w:hAnsi="宋体" w:cs="宋体"/>
          <w:color w:val="auto"/>
          <w:kern w:val="0"/>
          <w:sz w:val="24"/>
        </w:rPr>
        <w:t>条规定。</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6.6</w:t>
      </w:r>
      <w:r>
        <w:rPr>
          <w:rFonts w:hint="eastAsia" w:ascii="宋体" w:hAnsi="宋体" w:cs="宋体"/>
          <w:color w:val="auto"/>
          <w:kern w:val="0"/>
          <w:sz w:val="24"/>
        </w:rPr>
        <w:t>编写评标报告</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）评标报告由评标委员会负责编写。</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）评标报告应包括下列内容：</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①招标公告刊登的网站名称、开标日期和地点；</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②投标人名单和评标委员会成员名单；</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③评标方法和标准；</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④开标记录和评标情况及说明，包括无效投标人名单及原因；</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⑤评标结果，包括中标候选人名单或确定的中标人；</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⑥其他需要说明的情况，包括但不限于：评标过程中投标人的澄清、说明或补正，评委更换等。</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6.7</w:t>
      </w:r>
      <w:r>
        <w:rPr>
          <w:rFonts w:hint="eastAsia" w:ascii="宋体" w:hAnsi="宋体" w:cs="宋体"/>
          <w:color w:val="auto"/>
          <w:kern w:val="0"/>
          <w:sz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宋体" w:hAnsi="宋体" w:cs="宋体"/>
          <w:b/>
          <w:bCs/>
          <w:color w:val="auto"/>
          <w:kern w:val="0"/>
          <w:sz w:val="24"/>
        </w:rPr>
        <w:t>投标无效</w:t>
      </w:r>
      <w:r>
        <w:rPr>
          <w:rFonts w:hint="eastAsia" w:ascii="宋体" w:hAnsi="宋体" w:cs="宋体"/>
          <w:color w:val="auto"/>
          <w:kern w:val="0"/>
          <w:sz w:val="24"/>
        </w:rPr>
        <w:t>处理。</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6.8</w:t>
      </w:r>
      <w:r>
        <w:rPr>
          <w:rFonts w:hint="eastAsia" w:ascii="宋体" w:hAnsi="宋体" w:cs="宋体"/>
          <w:color w:val="auto"/>
          <w:kern w:val="0"/>
          <w:sz w:val="24"/>
        </w:rPr>
        <w:t>评委对需要共同认定的事项存在争议的，应按照少数服从多数的原则进行认定。</w:t>
      </w:r>
      <w:r>
        <w:rPr>
          <w:rFonts w:hint="eastAsia" w:ascii="宋体" w:hAnsi="宋体" w:cs="宋体"/>
          <w:b/>
          <w:bCs/>
          <w:color w:val="auto"/>
          <w:kern w:val="0"/>
          <w:sz w:val="24"/>
        </w:rPr>
        <w:t>持不同意见的评委应在评标报告上签署不同意见及理由，否则视为同意评标报告。</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6.9</w:t>
      </w:r>
      <w:r>
        <w:rPr>
          <w:rFonts w:hint="eastAsia" w:ascii="宋体" w:hAnsi="宋体" w:cs="宋体"/>
          <w:color w:val="auto"/>
          <w:kern w:val="0"/>
          <w:sz w:val="24"/>
        </w:rPr>
        <w:t>在评标过程中发现投标人有下列情形之一的，评标委员会应认定其</w:t>
      </w:r>
      <w:r>
        <w:rPr>
          <w:rFonts w:hint="eastAsia" w:ascii="宋体" w:hAnsi="宋体" w:cs="宋体"/>
          <w:b/>
          <w:bCs/>
          <w:color w:val="auto"/>
          <w:kern w:val="0"/>
          <w:sz w:val="24"/>
        </w:rPr>
        <w:t>投标无效</w:t>
      </w:r>
      <w:r>
        <w:rPr>
          <w:rFonts w:hint="eastAsia" w:ascii="宋体" w:hAnsi="宋体" w:cs="宋体"/>
          <w:color w:val="auto"/>
          <w:kern w:val="0"/>
          <w:sz w:val="24"/>
        </w:rPr>
        <w:t>，并书面报告本项目监督管理部门：</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）恶意串通（包括但不限于招标文件第三章第</w:t>
      </w:r>
      <w:r>
        <w:rPr>
          <w:rFonts w:ascii="宋体" w:hAnsi="宋体" w:cs="宋体"/>
          <w:color w:val="auto"/>
          <w:kern w:val="0"/>
          <w:sz w:val="24"/>
        </w:rPr>
        <w:t>9.7</w:t>
      </w:r>
      <w:r>
        <w:rPr>
          <w:rFonts w:hint="eastAsia" w:ascii="宋体" w:hAnsi="宋体" w:cs="宋体"/>
          <w:color w:val="auto"/>
          <w:kern w:val="0"/>
          <w:sz w:val="24"/>
        </w:rPr>
        <w:t>条规定情形）；</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）妨碍其他投标人的竞争行为；</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）损害采购人或其他投标人的合法权益。</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6.10</w:t>
      </w:r>
      <w:r>
        <w:rPr>
          <w:rFonts w:hint="eastAsia" w:ascii="宋体" w:hAnsi="宋体" w:cs="宋体"/>
          <w:color w:val="auto"/>
          <w:kern w:val="0"/>
          <w:sz w:val="24"/>
        </w:rPr>
        <w:t>评标过程中，有下列情形之一的，应予废标：</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）符合性审查合格的投标人不足三家的；</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）有关法律、法规和规章规定废标的情形。</w:t>
      </w:r>
    </w:p>
    <w:p>
      <w:pPr>
        <w:keepNext w:val="0"/>
        <w:keepLines w:val="0"/>
        <w:pageBreakBefore w:val="0"/>
        <w:widowControl/>
        <w:kinsoku/>
        <w:wordWrap/>
        <w:overflowPunct/>
        <w:topLinePunct w:val="0"/>
        <w:autoSpaceDE/>
        <w:autoSpaceDN/>
        <w:bidi w:val="0"/>
        <w:snapToGrid/>
        <w:spacing w:beforeAutospacing="0" w:afterAutospacing="0" w:line="440" w:lineRule="exact"/>
        <w:ind w:firstLine="480"/>
        <w:jc w:val="left"/>
        <w:textAlignment w:val="auto"/>
        <w:rPr>
          <w:rFonts w:ascii="宋体" w:cs="宋体"/>
          <w:color w:val="auto"/>
          <w:kern w:val="0"/>
          <w:sz w:val="24"/>
        </w:rPr>
      </w:pPr>
      <w:r>
        <w:rPr>
          <w:rFonts w:hint="eastAsia" w:ascii="宋体" w:hAnsi="宋体" w:cs="宋体"/>
          <w:b/>
          <w:bCs/>
          <w:color w:val="auto"/>
          <w:kern w:val="0"/>
          <w:sz w:val="24"/>
        </w:rPr>
        <w:t>※若废标，则本次采购活动结束，</w:t>
      </w:r>
      <w:r>
        <w:rPr>
          <w:rFonts w:hint="eastAsia" w:ascii="宋体" w:hAnsi="宋体" w:cs="宋体"/>
          <w:color w:val="auto"/>
          <w:kern w:val="0"/>
          <w:sz w:val="24"/>
        </w:rPr>
        <w:t>莆田市信成造价咨询有限公司</w:t>
      </w:r>
      <w:r>
        <w:rPr>
          <w:rFonts w:hint="eastAsia" w:ascii="宋体" w:hAnsi="宋体" w:cs="宋体"/>
          <w:b/>
          <w:bCs/>
          <w:color w:val="auto"/>
          <w:kern w:val="0"/>
          <w:sz w:val="24"/>
        </w:rPr>
        <w:t>将依法组织后续采购活动（包括但不限于：重新招标、采用其他方式采购等）。</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b/>
          <w:color w:val="auto"/>
          <w:kern w:val="0"/>
          <w:sz w:val="24"/>
        </w:rPr>
      </w:pPr>
      <w:r>
        <w:rPr>
          <w:rFonts w:ascii="宋体" w:hAnsi="宋体" w:cs="宋体"/>
          <w:b/>
          <w:color w:val="auto"/>
          <w:kern w:val="0"/>
          <w:sz w:val="24"/>
        </w:rPr>
        <w:t>7</w:t>
      </w:r>
      <w:r>
        <w:rPr>
          <w:rFonts w:hint="eastAsia" w:ascii="宋体" w:hAnsi="宋体" w:cs="宋体"/>
          <w:b/>
          <w:color w:val="auto"/>
          <w:kern w:val="0"/>
          <w:sz w:val="24"/>
        </w:rPr>
        <w:t>、评标方法和标准</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7.1</w:t>
      </w:r>
      <w:r>
        <w:rPr>
          <w:rFonts w:hint="eastAsia" w:ascii="宋体" w:hAnsi="宋体" w:cs="宋体"/>
          <w:color w:val="auto"/>
          <w:kern w:val="0"/>
          <w:sz w:val="24"/>
        </w:rPr>
        <w:t>评标方法：</w:t>
      </w:r>
      <w:r>
        <w:rPr>
          <w:rFonts w:ascii="宋体" w:hAnsi="宋体" w:cs="宋体"/>
          <w:color w:val="auto"/>
          <w:kern w:val="0"/>
          <w:sz w:val="24"/>
        </w:rPr>
        <w:t xml:space="preserve"> </w:t>
      </w:r>
      <w:r>
        <w:rPr>
          <w:rFonts w:hint="eastAsia" w:ascii="宋体" w:hAnsi="宋体" w:cs="宋体"/>
          <w:color w:val="auto"/>
          <w:kern w:val="0"/>
          <w:sz w:val="24"/>
        </w:rPr>
        <w:t>合同包</w:t>
      </w:r>
      <w:r>
        <w:rPr>
          <w:rFonts w:ascii="宋体" w:hAnsi="宋体" w:cs="宋体"/>
          <w:color w:val="auto"/>
          <w:kern w:val="0"/>
          <w:sz w:val="24"/>
        </w:rPr>
        <w:t>1</w:t>
      </w:r>
      <w:r>
        <w:rPr>
          <w:rFonts w:hint="eastAsia" w:ascii="宋体" w:hAnsi="宋体" w:cs="宋体"/>
          <w:color w:val="auto"/>
          <w:kern w:val="0"/>
          <w:sz w:val="24"/>
        </w:rPr>
        <w:t>采用</w:t>
      </w:r>
      <w:bookmarkStart w:id="1" w:name="_Hlk521674717"/>
      <w:r>
        <w:rPr>
          <w:rStyle w:val="20"/>
          <w:rFonts w:hint="eastAsia" w:ascii="宋体" w:hAnsi="宋体" w:eastAsia="宋体" w:cs="宋体"/>
          <w:color w:val="auto"/>
          <w:sz w:val="24"/>
          <w:szCs w:val="24"/>
          <w:shd w:val="clear" w:fill="FFFFFF"/>
        </w:rPr>
        <w:t>最低评标价法</w:t>
      </w:r>
      <w:r>
        <w:rPr>
          <w:rFonts w:hint="eastAsia" w:ascii="宋体" w:hAnsi="宋体" w:cs="宋体"/>
          <w:color w:val="auto"/>
          <w:kern w:val="0"/>
          <w:sz w:val="24"/>
        </w:rPr>
        <w:t>。</w:t>
      </w:r>
      <w:bookmarkEnd w:id="1"/>
    </w:p>
    <w:p>
      <w:pPr>
        <w:pStyle w:val="15"/>
        <w:keepNext w:val="0"/>
        <w:keepLines w:val="0"/>
        <w:pageBreakBefore w:val="0"/>
        <w:widowControl/>
        <w:kinsoku/>
        <w:wordWrap/>
        <w:overflowPunct/>
        <w:topLinePunct w:val="0"/>
        <w:autoSpaceDE/>
        <w:autoSpaceDN/>
        <w:bidi w:val="0"/>
        <w:snapToGrid/>
        <w:spacing w:beforeAutospacing="0" w:afterAutospacing="0" w:line="440" w:lineRule="exact"/>
        <w:textAlignment w:val="auto"/>
        <w:rPr>
          <w:rFonts w:ascii="宋体" w:cs="宋体"/>
          <w:color w:val="auto"/>
        </w:rPr>
      </w:pPr>
      <w:r>
        <w:rPr>
          <w:rFonts w:ascii="宋体" w:hAnsi="宋体" w:cs="宋体"/>
          <w:color w:val="auto"/>
        </w:rPr>
        <w:t>7.2</w:t>
      </w:r>
      <w:r>
        <w:rPr>
          <w:rFonts w:hint="eastAsia" w:ascii="宋体" w:hAnsi="宋体" w:cs="宋体"/>
          <w:color w:val="auto"/>
        </w:rPr>
        <w:t>评标标准</w:t>
      </w:r>
    </w:p>
    <w:p>
      <w:pPr>
        <w:pStyle w:val="15"/>
        <w:keepNext w:val="0"/>
        <w:keepLines w:val="0"/>
        <w:pageBreakBefore w:val="0"/>
        <w:widowControl/>
        <w:suppressLineNumbers w:val="0"/>
        <w:shd w:val="clear" w:fill="FFFFFF"/>
        <w:kinsoku/>
        <w:wordWrap/>
        <w:overflowPunct/>
        <w:topLinePunct w:val="0"/>
        <w:autoSpaceDE/>
        <w:autoSpaceDN/>
        <w:bidi w:val="0"/>
        <w:snapToGrid/>
        <w:spacing w:beforeAutospacing="0" w:afterAutospacing="0" w:line="440" w:lineRule="exact"/>
        <w:textAlignment w:val="auto"/>
        <w:rPr>
          <w:rFonts w:hint="eastAsia" w:ascii="微软雅黑" w:hAnsi="微软雅黑" w:eastAsia="微软雅黑" w:cs="微软雅黑"/>
          <w:color w:val="auto"/>
          <w:sz w:val="19"/>
          <w:szCs w:val="19"/>
        </w:rPr>
      </w:pPr>
      <w:r>
        <w:rPr>
          <w:rStyle w:val="20"/>
          <w:rFonts w:hint="eastAsia" w:ascii="宋体" w:hAnsi="宋体" w:eastAsia="宋体" w:cs="宋体"/>
          <w:color w:val="auto"/>
          <w:sz w:val="24"/>
          <w:szCs w:val="24"/>
          <w:shd w:val="clear" w:fill="FFFFFF"/>
        </w:rPr>
        <w:t>合同包</w:t>
      </w:r>
      <w:r>
        <w:rPr>
          <w:rStyle w:val="20"/>
          <w:rFonts w:hint="eastAsia" w:ascii="Times New Roman" w:hAnsi="Times New Roman" w:eastAsia="宋体" w:cs="Times New Roman"/>
          <w:color w:val="auto"/>
          <w:sz w:val="24"/>
          <w:szCs w:val="24"/>
          <w:shd w:val="clear" w:fill="FFFFFF"/>
          <w:lang w:val="en-US" w:eastAsia="zh-CN"/>
        </w:rPr>
        <w:t>1</w:t>
      </w:r>
      <w:r>
        <w:rPr>
          <w:rStyle w:val="20"/>
          <w:rFonts w:hint="eastAsia" w:ascii="宋体" w:hAnsi="宋体" w:eastAsia="宋体" w:cs="宋体"/>
          <w:color w:val="auto"/>
          <w:sz w:val="24"/>
          <w:szCs w:val="24"/>
          <w:shd w:val="clear" w:fill="FFFFFF"/>
        </w:rPr>
        <w:t>采用最低评标价法</w:t>
      </w:r>
      <w:r>
        <w:rPr>
          <w:rFonts w:hint="eastAsia" w:ascii="宋体" w:hAnsi="宋体" w:eastAsia="宋体" w:cs="宋体"/>
          <w:color w:val="auto"/>
          <w:sz w:val="24"/>
          <w:szCs w:val="24"/>
          <w:shd w:val="clear" w:fill="FFFFFF"/>
        </w:rPr>
        <w:t>：</w:t>
      </w:r>
      <w:r>
        <w:rPr>
          <w:rFonts w:hint="eastAsia" w:ascii="微软雅黑" w:hAnsi="微软雅黑" w:eastAsia="微软雅黑" w:cs="微软雅黑"/>
          <w:color w:val="auto"/>
          <w:sz w:val="19"/>
          <w:szCs w:val="19"/>
          <w:shd w:val="clear" w:fill="FFFFFF"/>
        </w:rPr>
        <w:t xml:space="preserve"> </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（1）投标文件满足招标文件全部实质性要求，且投标报价最低的投标人为中标候选人。</w:t>
      </w:r>
      <w:r>
        <w:rPr>
          <w:color w:val="auto"/>
        </w:rPr>
        <w:t xml:space="preserve"> </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（2）价格扣除的规则如下：</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a.优先类节能产品、环境标志产品：</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10%</w:t>
      </w:r>
      <w:r>
        <w:rPr>
          <w:rFonts w:hint="eastAsia" w:ascii="宋体" w:hAnsi="宋体" w:eastAsia="宋体" w:cs="宋体"/>
          <w:color w:val="auto"/>
          <w:sz w:val="24"/>
          <w:szCs w:val="24"/>
        </w:rPr>
        <w:t>（含</w:t>
      </w:r>
      <w:r>
        <w:rPr>
          <w:rFonts w:hint="default" w:ascii="Calibri" w:hAnsi="Calibri" w:eastAsia="宋体" w:cs="Calibri"/>
          <w:color w:val="auto"/>
          <w:sz w:val="24"/>
          <w:szCs w:val="24"/>
        </w:rPr>
        <w:t>10%</w:t>
      </w:r>
      <w:r>
        <w:rPr>
          <w:rFonts w:hint="eastAsia" w:ascii="宋体" w:hAnsi="宋体" w:eastAsia="宋体" w:cs="宋体"/>
          <w:color w:val="auto"/>
          <w:sz w:val="24"/>
          <w:szCs w:val="24"/>
        </w:rPr>
        <w:t>）以下，将给予节能、环境标志产品每个单项报价</w:t>
      </w:r>
      <w:r>
        <w:rPr>
          <w:rFonts w:hint="default" w:ascii="Calibri" w:hAnsi="Calibri" w:eastAsia="宋体" w:cs="Calibri"/>
          <w:color w:val="auto"/>
          <w:sz w:val="24"/>
          <w:szCs w:val="24"/>
        </w:rPr>
        <w:t>3%</w:t>
      </w:r>
      <w:r>
        <w:rPr>
          <w:rFonts w:hint="eastAsia" w:ascii="宋体" w:hAnsi="宋体" w:eastAsia="宋体" w:cs="宋体"/>
          <w:color w:val="auto"/>
          <w:sz w:val="24"/>
          <w:szCs w:val="24"/>
        </w:rPr>
        <w:t>的价格扣除；若同一合同包内节能、环境标志产品报价总金额占该合同包报价总金额</w:t>
      </w:r>
      <w:r>
        <w:rPr>
          <w:rFonts w:hint="default" w:ascii="Calibri" w:hAnsi="Calibri" w:eastAsia="宋体" w:cs="Calibri"/>
          <w:color w:val="auto"/>
          <w:sz w:val="24"/>
          <w:szCs w:val="24"/>
        </w:rPr>
        <w:t>10%-30%</w:t>
      </w:r>
      <w:r>
        <w:rPr>
          <w:rFonts w:hint="eastAsia" w:ascii="宋体" w:hAnsi="宋体" w:eastAsia="宋体" w:cs="宋体"/>
          <w:color w:val="auto"/>
          <w:sz w:val="24"/>
          <w:szCs w:val="24"/>
        </w:rPr>
        <w:t>（含</w:t>
      </w:r>
      <w:r>
        <w:rPr>
          <w:rFonts w:hint="default" w:ascii="Calibri" w:hAnsi="Calibri" w:eastAsia="宋体" w:cs="Calibri"/>
          <w:color w:val="auto"/>
          <w:sz w:val="24"/>
          <w:szCs w:val="24"/>
        </w:rPr>
        <w:t>30%</w:t>
      </w:r>
      <w:r>
        <w:rPr>
          <w:rFonts w:hint="eastAsia" w:ascii="宋体" w:hAnsi="宋体" w:eastAsia="宋体" w:cs="宋体"/>
          <w:color w:val="auto"/>
          <w:sz w:val="24"/>
          <w:szCs w:val="24"/>
        </w:rPr>
        <w:t>），将给予节能、环境标志产品每个单项报价</w:t>
      </w:r>
      <w:r>
        <w:rPr>
          <w:rFonts w:hint="default" w:ascii="Calibri" w:hAnsi="Calibri" w:eastAsia="宋体" w:cs="Calibri"/>
          <w:color w:val="auto"/>
          <w:sz w:val="24"/>
          <w:szCs w:val="24"/>
        </w:rPr>
        <w:t>6%</w:t>
      </w:r>
      <w:r>
        <w:rPr>
          <w:rFonts w:hint="eastAsia" w:ascii="宋体" w:hAnsi="宋体" w:eastAsia="宋体" w:cs="宋体"/>
          <w:color w:val="auto"/>
          <w:sz w:val="24"/>
          <w:szCs w:val="24"/>
        </w:rPr>
        <w:t>的价格扣除；若同一合同包内节能、环境标志产品报价总金额占该合同包报价总金额</w:t>
      </w:r>
      <w:r>
        <w:rPr>
          <w:rFonts w:hint="default" w:ascii="Calibri" w:hAnsi="Calibri" w:eastAsia="宋体" w:cs="Calibri"/>
          <w:color w:val="auto"/>
          <w:sz w:val="24"/>
          <w:szCs w:val="24"/>
        </w:rPr>
        <w:t>30%-50%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），将给予节能、环境标志产品每个单项报价</w:t>
      </w:r>
      <w:r>
        <w:rPr>
          <w:rFonts w:hint="default" w:ascii="Calibri" w:hAnsi="Calibri" w:eastAsia="宋体" w:cs="Calibri"/>
          <w:color w:val="auto"/>
          <w:sz w:val="24"/>
          <w:szCs w:val="24"/>
        </w:rPr>
        <w:t>8%</w:t>
      </w:r>
      <w:r>
        <w:rPr>
          <w:rFonts w:hint="eastAsia" w:ascii="宋体" w:hAnsi="宋体" w:eastAsia="宋体" w:cs="宋体"/>
          <w:color w:val="auto"/>
          <w:sz w:val="24"/>
          <w:szCs w:val="24"/>
        </w:rPr>
        <w:t>的价格扣除；若同一合同包内节能、环境标志产品报价总金额超过该合同包报价总金额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以上，将给予节能、环境标志产品每个单项报价</w:t>
      </w:r>
      <w:r>
        <w:rPr>
          <w:rFonts w:hint="default" w:ascii="Calibri" w:hAnsi="Calibri" w:eastAsia="宋体" w:cs="Calibri"/>
          <w:color w:val="auto"/>
          <w:sz w:val="24"/>
          <w:szCs w:val="24"/>
        </w:rPr>
        <w:t>10%</w:t>
      </w:r>
      <w:r>
        <w:rPr>
          <w:rFonts w:hint="eastAsia" w:ascii="宋体" w:hAnsi="宋体" w:eastAsia="宋体" w:cs="宋体"/>
          <w:color w:val="auto"/>
          <w:sz w:val="24"/>
          <w:szCs w:val="24"/>
        </w:rPr>
        <w:t>的价格扣除。</w:t>
      </w:r>
      <w:r>
        <w:rPr>
          <w:color w:val="auto"/>
        </w:rPr>
        <w:t xml:space="preserve"> </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a2若节能、环境标志产品仅是构成投标产品的部件、组件或零件，则该投标产品不享受鼓励优惠政策。同一品目中各认证证书不重复计算价格扣除。强制类节能产品不享受价格扣除。</w:t>
      </w:r>
      <w:r>
        <w:rPr>
          <w:color w:val="auto"/>
        </w:rPr>
        <w:t xml:space="preserve"> </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b.小型、微型企业产品等：</w:t>
      </w:r>
    </w:p>
    <w:tbl>
      <w:tblPr>
        <w:tblStyle w:val="1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95"/>
        <w:gridCol w:w="7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440" w:lineRule="exact"/>
              <w:jc w:val="left"/>
              <w:textAlignment w:val="auto"/>
              <w:rPr>
                <w:color w:val="auto"/>
              </w:rPr>
            </w:pPr>
            <w:r>
              <w:rPr>
                <w:rFonts w:ascii="宋体" w:hAnsi="宋体" w:eastAsia="宋体" w:cs="宋体"/>
                <w:color w:val="auto"/>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440" w:lineRule="exact"/>
              <w:jc w:val="left"/>
              <w:textAlignment w:val="auto"/>
              <w:rPr>
                <w:color w:val="auto"/>
              </w:rPr>
            </w:pPr>
            <w:r>
              <w:rPr>
                <w:rFonts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2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b w:val="0"/>
                <w:bCs w:val="0"/>
                <w:color w:val="auto"/>
              </w:rPr>
            </w:pPr>
            <w:r>
              <w:rPr>
                <w:rFonts w:hint="eastAsia" w:ascii="宋体" w:hAnsi="宋体" w:eastAsia="宋体" w:cs="宋体"/>
                <w:b w:val="0"/>
                <w:bCs w:val="0"/>
                <w:color w:val="auto"/>
                <w:kern w:val="0"/>
                <w:sz w:val="24"/>
                <w:highlight w:val="none"/>
              </w:rPr>
              <w:t>小型、微型企业，监狱企业，残疾人</w:t>
            </w:r>
          </w:p>
        </w:tc>
        <w:tc>
          <w:tcPr>
            <w:tcW w:w="79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b w:val="0"/>
                <w:bCs w:val="0"/>
                <w:color w:val="auto"/>
              </w:rPr>
            </w:pPr>
            <w:r>
              <w:rPr>
                <w:rStyle w:val="20"/>
                <w:rFonts w:hint="eastAsia" w:ascii="宋体" w:hAnsi="宋体" w:eastAsia="宋体" w:cs="宋体"/>
                <w:b w:val="0"/>
                <w:bCs w:val="0"/>
                <w:color w:val="auto"/>
                <w:kern w:val="0"/>
                <w:sz w:val="24"/>
                <w:highlight w:val="none"/>
              </w:rPr>
              <w:t>1、评审时，对符合《政府采购促进中小企业发展管理办法》（财库﹝2020﹞46号）规定的小微企业报价给予价格扣除【货物和服务项目为6%；工程项目为 3%；对于联合协议或者分包意向协议约定小微企业的合同份额占到合同总金额 30%以上的，对联合体或者大中型企业的报价扣除比例为 2%（工程项目为2%）】，用扣除后的价格参加评审。投标人须提供合格的中小企业声明函（格式详见第七章），否则不予价格扣除。若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3、根据财政部、民政部、中国残联文件（财库[2017]141号）及福建省财政、福建省民政厅、福建省残疾人联合会联合发布的《关于进一步落实政府采购支持残疾人就业政策的通知》、福建省财政《关于残疾人福利性单位参加政府 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10%的扣除（对残疾人福利性单位与其他组织组成联合体参与政府采购活动的，残疾人福利性单位的协议合同金额占总合同金额30%以上的，给予联合体合同金额3%的价格扣除），但必须提供《残疾人福利性单位声明函》（格式详见第七章），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 4、具体的政策性优惠规定详见招标文件第三章、第七章规定，上述规定与政府采购相关法律、法规、制度等有冲突的，以现行法律、法规、制度等执行。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29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b w:val="0"/>
                <w:bCs w:val="0"/>
                <w:color w:val="auto"/>
                <w:kern w:val="0"/>
                <w:sz w:val="24"/>
                <w:highlight w:val="none"/>
              </w:rPr>
            </w:pPr>
            <w:r>
              <w:rPr>
                <w:rFonts w:ascii="宋体" w:hAnsi="宋体" w:eastAsia="宋体" w:cs="宋体"/>
                <w:b w:val="0"/>
                <w:bCs w:val="0"/>
                <w:color w:val="auto"/>
                <w:kern w:val="0"/>
                <w:sz w:val="24"/>
                <w:szCs w:val="24"/>
                <w:lang w:val="en-US" w:eastAsia="zh-CN" w:bidi="ar"/>
              </w:rPr>
              <w:t>节能产品</w:t>
            </w:r>
          </w:p>
        </w:tc>
        <w:tc>
          <w:tcPr>
            <w:tcW w:w="79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Style w:val="20"/>
                <w:rFonts w:hint="eastAsia" w:ascii="宋体" w:hAnsi="宋体" w:eastAsia="宋体" w:cs="宋体"/>
                <w:b w:val="0"/>
                <w:bCs w:val="0"/>
                <w:color w:val="auto"/>
                <w:kern w:val="0"/>
                <w:sz w:val="24"/>
                <w:highlight w:val="none"/>
              </w:rPr>
            </w:pPr>
            <w:r>
              <w:rPr>
                <w:rStyle w:val="20"/>
                <w:rFonts w:ascii="宋体" w:hAnsi="宋体" w:eastAsia="宋体" w:cs="宋体"/>
                <w:b w:val="0"/>
                <w:bCs w:val="0"/>
                <w:color w:val="auto"/>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c.其他：无。</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Style w:val="20"/>
          <w:rFonts w:hint="eastAsia" w:ascii="宋体" w:hAnsi="宋体" w:eastAsia="宋体" w:cs="宋体"/>
          <w:color w:val="auto"/>
          <w:sz w:val="24"/>
          <w:szCs w:val="24"/>
        </w:rPr>
        <w:t>※除本章第</w:t>
      </w:r>
      <w:r>
        <w:rPr>
          <w:rStyle w:val="20"/>
          <w:rFonts w:hint="default" w:ascii="Calibri" w:hAnsi="Calibri" w:eastAsia="宋体" w:cs="Calibri"/>
          <w:color w:val="auto"/>
          <w:sz w:val="24"/>
          <w:szCs w:val="24"/>
        </w:rPr>
        <w:t>6.3</w:t>
      </w:r>
      <w:r>
        <w:rPr>
          <w:rStyle w:val="20"/>
          <w:rFonts w:hint="eastAsia" w:ascii="宋体" w:hAnsi="宋体" w:eastAsia="宋体" w:cs="宋体"/>
          <w:color w:val="auto"/>
          <w:sz w:val="24"/>
          <w:szCs w:val="24"/>
        </w:rPr>
        <w:t>条第（</w:t>
      </w:r>
      <w:r>
        <w:rPr>
          <w:rStyle w:val="20"/>
          <w:rFonts w:hint="default" w:ascii="Calibri" w:hAnsi="Calibri" w:eastAsia="宋体" w:cs="Calibri"/>
          <w:color w:val="auto"/>
          <w:sz w:val="24"/>
          <w:szCs w:val="24"/>
        </w:rPr>
        <w:t>3</w:t>
      </w:r>
      <w:r>
        <w:rPr>
          <w:rStyle w:val="20"/>
          <w:rFonts w:hint="eastAsia" w:ascii="宋体" w:hAnsi="宋体" w:eastAsia="宋体" w:cs="宋体"/>
          <w:color w:val="auto"/>
          <w:sz w:val="24"/>
          <w:szCs w:val="24"/>
        </w:rPr>
        <w:t>）款规定情形和落实政府采购政策需进行的价格扣除情形外，不能对投标人的投标报价进行任何调整。</w:t>
      </w:r>
      <w:r>
        <w:rPr>
          <w:color w:val="auto"/>
        </w:rPr>
        <w:t xml:space="preserve"> </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（3）中标候选人排列规则顺序如下：</w:t>
      </w:r>
      <w:r>
        <w:rPr>
          <w:color w:val="auto"/>
        </w:rPr>
        <w:t xml:space="preserve"> </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a.按照评标价（即价格扣除后的投标报价）由低到高顺序排列。</w:t>
      </w:r>
    </w:p>
    <w:p>
      <w:pPr>
        <w:pStyle w:val="15"/>
        <w:keepNext w:val="0"/>
        <w:keepLines w:val="0"/>
        <w:pageBreakBefore w:val="0"/>
        <w:widowControl/>
        <w:suppressLineNumbers w:val="0"/>
        <w:kinsoku/>
        <w:wordWrap/>
        <w:overflowPunct/>
        <w:topLinePunct w:val="0"/>
        <w:autoSpaceDE/>
        <w:autoSpaceDN/>
        <w:bidi w:val="0"/>
        <w:snapToGrid/>
        <w:spacing w:beforeAutospacing="0" w:afterAutospacing="0" w:line="440" w:lineRule="exact"/>
        <w:ind w:left="0" w:firstLine="480"/>
        <w:textAlignment w:val="auto"/>
        <w:rPr>
          <w:color w:val="auto"/>
        </w:rPr>
      </w:pPr>
      <w:r>
        <w:rPr>
          <w:rFonts w:hint="eastAsia" w:ascii="宋体" w:hAnsi="宋体" w:eastAsia="宋体" w:cs="宋体"/>
          <w:color w:val="auto"/>
          <w:sz w:val="24"/>
          <w:szCs w:val="24"/>
        </w:rPr>
        <w:t>b.评标价相同的并列。</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8</w:t>
      </w:r>
      <w:r>
        <w:rPr>
          <w:rFonts w:hint="eastAsia" w:ascii="宋体" w:hAnsi="宋体" w:cs="宋体"/>
          <w:color w:val="auto"/>
          <w:kern w:val="0"/>
          <w:sz w:val="24"/>
        </w:rPr>
        <w:t>、其他规定</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8.1</w:t>
      </w:r>
      <w:r>
        <w:rPr>
          <w:rFonts w:hint="eastAsia" w:ascii="宋体" w:hAnsi="宋体" w:cs="宋体"/>
          <w:color w:val="auto"/>
          <w:kern w:val="0"/>
          <w:sz w:val="24"/>
        </w:rPr>
        <w:t>评标应全程保密且不得透露给任一投标人或与评标工作无关的人员。</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8.2</w:t>
      </w:r>
      <w:r>
        <w:rPr>
          <w:rFonts w:hint="eastAsia" w:ascii="宋体" w:hAnsi="宋体" w:cs="宋体"/>
          <w:color w:val="auto"/>
          <w:kern w:val="0"/>
          <w:sz w:val="24"/>
        </w:rPr>
        <w:t>评标将进行全程实时录音录像，录音录像资料随采购文件一并存档。</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8.3</w:t>
      </w:r>
      <w:r>
        <w:rPr>
          <w:rFonts w:hint="eastAsia" w:ascii="宋体" w:hAnsi="宋体" w:cs="宋体"/>
          <w:color w:val="auto"/>
          <w:kern w:val="0"/>
          <w:sz w:val="24"/>
        </w:rPr>
        <w:t>若投标人有任何试图干扰具体评标事务，影响评标委员会独立履行职责的行为，其投标无效且不予退还投标保证金。情节严重的，由财政部门列入不良行为记录。</w:t>
      </w:r>
    </w:p>
    <w:p>
      <w:pPr>
        <w:keepNext w:val="0"/>
        <w:keepLines w:val="0"/>
        <w:pageBreakBefore w:val="0"/>
        <w:widowControl/>
        <w:kinsoku/>
        <w:wordWrap/>
        <w:overflowPunct/>
        <w:topLinePunct w:val="0"/>
        <w:autoSpaceDE/>
        <w:autoSpaceDN/>
        <w:bidi w:val="0"/>
        <w:snapToGrid/>
        <w:spacing w:beforeAutospacing="0" w:afterAutospacing="0" w:line="440" w:lineRule="exact"/>
        <w:jc w:val="left"/>
        <w:textAlignment w:val="auto"/>
        <w:rPr>
          <w:rFonts w:ascii="宋体" w:cs="宋体"/>
          <w:color w:val="auto"/>
          <w:kern w:val="0"/>
          <w:sz w:val="24"/>
        </w:rPr>
      </w:pPr>
      <w:r>
        <w:rPr>
          <w:rFonts w:ascii="宋体" w:hAnsi="宋体" w:cs="宋体"/>
          <w:color w:val="auto"/>
          <w:kern w:val="0"/>
          <w:sz w:val="24"/>
        </w:rPr>
        <w:t>8.4</w:t>
      </w:r>
      <w:r>
        <w:rPr>
          <w:rFonts w:hint="eastAsia" w:ascii="宋体" w:hAnsi="宋体" w:cs="宋体"/>
          <w:color w:val="auto"/>
          <w:kern w:val="0"/>
          <w:sz w:val="24"/>
        </w:rPr>
        <w:t>其他：</w:t>
      </w:r>
    </w:p>
    <w:p>
      <w:pPr>
        <w:widowControl/>
        <w:spacing w:line="360" w:lineRule="exact"/>
        <w:jc w:val="left"/>
        <w:rPr>
          <w:rFonts w:ascii="宋体" w:cs="宋体"/>
          <w:color w:val="auto"/>
          <w:kern w:val="0"/>
          <w:sz w:val="24"/>
        </w:rPr>
      </w:pPr>
    </w:p>
    <w:p>
      <w:pPr>
        <w:pStyle w:val="27"/>
        <w:ind w:firstLine="31680"/>
        <w:rPr>
          <w:rFonts w:ascii="宋体" w:eastAsia="宋体" w:cs="宋体"/>
          <w:color w:val="auto"/>
          <w:kern w:val="0"/>
          <w:sz w:val="24"/>
        </w:rPr>
      </w:pPr>
    </w:p>
    <w:p>
      <w:pPr>
        <w:keepNext w:val="0"/>
        <w:keepLines w:val="0"/>
        <w:pageBreakBefore w:val="0"/>
        <w:widowControl w:val="0"/>
        <w:tabs>
          <w:tab w:val="left" w:pos="3240"/>
          <w:tab w:val="left" w:pos="3600"/>
          <w:tab w:val="left" w:pos="4057"/>
          <w:tab w:val="right" w:pos="9070"/>
        </w:tabs>
        <w:kinsoku/>
        <w:wordWrap/>
        <w:overflowPunct/>
        <w:topLinePunct w:val="0"/>
        <w:autoSpaceDE/>
        <w:autoSpaceDN/>
        <w:bidi w:val="0"/>
        <w:adjustRightInd/>
        <w:snapToGrid/>
        <w:spacing w:line="240" w:lineRule="auto"/>
        <w:jc w:val="center"/>
        <w:textAlignment w:val="auto"/>
        <w:rPr>
          <w:rFonts w:ascii="宋体" w:cs="宋体"/>
          <w:b/>
          <w:color w:val="auto"/>
          <w:sz w:val="32"/>
          <w:szCs w:val="32"/>
        </w:rPr>
      </w:pPr>
      <w:r>
        <w:rPr>
          <w:rFonts w:hint="eastAsia" w:ascii="宋体" w:hAnsi="宋体" w:cs="宋体"/>
          <w:b/>
          <w:color w:val="auto"/>
          <w:sz w:val="32"/>
          <w:szCs w:val="32"/>
        </w:rPr>
        <w:t>五章</w:t>
      </w:r>
      <w:r>
        <w:rPr>
          <w:rFonts w:ascii="宋体" w:hAnsi="宋体" w:cs="宋体"/>
          <w:b/>
          <w:color w:val="auto"/>
          <w:sz w:val="32"/>
          <w:szCs w:val="32"/>
        </w:rPr>
        <w:t xml:space="preserve">  </w:t>
      </w:r>
      <w:r>
        <w:rPr>
          <w:rFonts w:hint="eastAsia" w:ascii="宋体" w:hAnsi="宋体" w:cs="宋体"/>
          <w:b/>
          <w:color w:val="auto"/>
          <w:sz w:val="32"/>
          <w:szCs w:val="32"/>
        </w:rPr>
        <w:t>招标内容及要求</w:t>
      </w:r>
    </w:p>
    <w:bookmarkEnd w:id="0"/>
    <w:p>
      <w:pPr>
        <w:keepNext w:val="0"/>
        <w:keepLines w:val="0"/>
        <w:pageBreakBefore w:val="0"/>
        <w:numPr>
          <w:ilvl w:val="0"/>
          <w:numId w:val="5"/>
        </w:numPr>
        <w:kinsoku/>
        <w:wordWrap/>
        <w:overflowPunct/>
        <w:topLinePunct w:val="0"/>
        <w:bidi w:val="0"/>
        <w:spacing w:line="460" w:lineRule="exact"/>
        <w:jc w:val="both"/>
        <w:textAlignment w:val="auto"/>
        <w:rPr>
          <w:rFonts w:hAnsi="宋体" w:cs="Arial"/>
          <w:b/>
          <w:sz w:val="24"/>
          <w:szCs w:val="28"/>
        </w:rPr>
      </w:pPr>
      <w:r>
        <w:rPr>
          <w:rFonts w:ascii="宋体" w:hAnsi="宋体" w:eastAsia="宋体" w:cs="宋体"/>
          <w:b/>
          <w:bCs/>
          <w:kern w:val="0"/>
          <w:sz w:val="24"/>
          <w:szCs w:val="24"/>
          <w:highlight w:val="none"/>
          <w:lang w:val="en-US" w:eastAsia="zh-CN" w:bidi="ar"/>
        </w:rPr>
        <w:t>技术和服务要求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233"/>
        <w:gridCol w:w="5632"/>
        <w:gridCol w:w="792"/>
        <w:gridCol w:w="680"/>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tcPr>
          <w:p>
            <w:pPr>
              <w:pStyle w:val="1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color w:val="auto"/>
                <w:sz w:val="24"/>
                <w:szCs w:val="24"/>
                <w:highlight w:val="none"/>
                <w:vertAlign w:val="baseline"/>
                <w:lang w:eastAsia="zh-CN"/>
              </w:rPr>
              <w:t>序号</w:t>
            </w:r>
          </w:p>
        </w:tc>
        <w:tc>
          <w:tcPr>
            <w:tcW w:w="1233" w:type="dxa"/>
            <w:vAlign w:val="center"/>
          </w:tcPr>
          <w:p>
            <w:pPr>
              <w:pStyle w:val="1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color w:val="auto"/>
                <w:sz w:val="24"/>
                <w:szCs w:val="24"/>
                <w:highlight w:val="none"/>
                <w:vertAlign w:val="baseline"/>
                <w:lang w:eastAsia="zh-CN"/>
              </w:rPr>
              <w:t>货物名称</w:t>
            </w:r>
          </w:p>
        </w:tc>
        <w:tc>
          <w:tcPr>
            <w:tcW w:w="5632" w:type="dxa"/>
            <w:vAlign w:val="center"/>
          </w:tcPr>
          <w:p>
            <w:pPr>
              <w:pStyle w:val="1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color w:val="auto"/>
                <w:sz w:val="24"/>
                <w:szCs w:val="24"/>
                <w:highlight w:val="none"/>
                <w:vertAlign w:val="baseline"/>
                <w:lang w:eastAsia="zh-CN"/>
              </w:rPr>
              <w:t>技术参数要求</w:t>
            </w:r>
          </w:p>
        </w:tc>
        <w:tc>
          <w:tcPr>
            <w:tcW w:w="792" w:type="dxa"/>
            <w:vAlign w:val="center"/>
          </w:tcPr>
          <w:p>
            <w:pPr>
              <w:pStyle w:val="1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color w:val="auto"/>
                <w:sz w:val="24"/>
                <w:szCs w:val="24"/>
                <w:highlight w:val="none"/>
                <w:vertAlign w:val="baseline"/>
                <w:lang w:eastAsia="zh-CN"/>
              </w:rPr>
              <w:t>数量</w:t>
            </w:r>
          </w:p>
        </w:tc>
        <w:tc>
          <w:tcPr>
            <w:tcW w:w="680" w:type="dxa"/>
          </w:tcPr>
          <w:p>
            <w:pPr>
              <w:pStyle w:val="1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color w:val="auto"/>
                <w:sz w:val="24"/>
                <w:szCs w:val="24"/>
                <w:highlight w:val="none"/>
                <w:vertAlign w:val="baseline"/>
                <w:lang w:eastAsia="zh-CN"/>
              </w:rPr>
              <w:t>单位</w:t>
            </w:r>
          </w:p>
        </w:tc>
        <w:tc>
          <w:tcPr>
            <w:tcW w:w="625" w:type="dxa"/>
          </w:tcPr>
          <w:p>
            <w:pPr>
              <w:pStyle w:val="1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color w:val="auto"/>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6"/>
          </w:tcPr>
          <w:p>
            <w:pPr>
              <w:pStyle w:val="15"/>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bCs/>
                <w:color w:val="auto"/>
                <w:sz w:val="24"/>
                <w:szCs w:val="24"/>
                <w:highlight w:val="none"/>
                <w:vertAlign w:val="baseline"/>
                <w:lang w:eastAsia="zh-CN"/>
              </w:rPr>
            </w:pPr>
            <w:r>
              <w:rPr>
                <w:rFonts w:hint="eastAsia" w:asciiTheme="majorEastAsia" w:hAnsiTheme="majorEastAsia" w:eastAsiaTheme="majorEastAsia" w:cstheme="majorEastAsia"/>
                <w:b/>
                <w:bCs/>
                <w:sz w:val="24"/>
                <w:szCs w:val="24"/>
                <w:vertAlign w:val="baseline"/>
              </w:rPr>
              <w:t>一、影视虚拟摄影棚设备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摄像机</w:t>
            </w:r>
          </w:p>
        </w:tc>
        <w:tc>
          <w:tcPr>
            <w:tcW w:w="5632" w:type="dxa"/>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1、1/2.3型约2114万总像素的4K UHD CMOS 影像传感器；一支具有4K高光学素质，兼具广角和20倍光学变焦的摄像镜头和一个高性能影像处理平台DIGIC DV 6</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2、采用过采样HD处理技术（Over Sampling HD Processing）可将4K UHD CMOS影像传感器获得的全部4K UHD像素信息应用到Full HD影像的记录中，使Full HD画质更加优秀。</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2、3英寸液晶屏</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3、兼具29.3mm*（35mm等效焦距）广视角和20倍光学变焦，支持4K高光学性能的摄像镜头；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4、慢动作与快动作记录 (4K/Full HD)。</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台</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摄像机配件</w:t>
            </w:r>
          </w:p>
        </w:tc>
        <w:tc>
          <w:tcPr>
            <w:tcW w:w="5632" w:type="dxa"/>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1、雷克沙 SD卡 1667X存储卡×1：SD卡 128G 写入120MB/s；</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2、绿联CM104 读卡器×1：USB3.0；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3、百诺 IF28 三脚架×1：负荷重量达到14kg、镁铝合金、脚管节数：4节、最大管径：28.6mm×1；</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4、佳能摄像包×1：轻巧便携，配套摄像机使用；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5、佳能电池×1：容量</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szCs w:val="24"/>
                <w:vertAlign w:val="baseline"/>
              </w:rPr>
              <w:t>1650mAh。</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6、清洁套装×1：套装。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套</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高清虚拟演播系统</w:t>
            </w:r>
          </w:p>
        </w:tc>
        <w:tc>
          <w:tcPr>
            <w:tcW w:w="5632" w:type="dxa"/>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1、主机配置：CPU：≥Intel I7 8700；内存：≥16GB  DDR双通道内存； 系统硬盘：≥256GB固态硬盘；素材硬盘：≥2TB企业级硬盘7200rpm；专业图形显卡：显存4GB以上； 显示器：</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szCs w:val="24"/>
                <w:vertAlign w:val="baseline"/>
              </w:rPr>
              <w:t>27英寸</w:t>
            </w:r>
            <w:r>
              <w:rPr>
                <w:rFonts w:hint="eastAsia" w:asciiTheme="majorEastAsia" w:hAnsiTheme="majorEastAsia" w:eastAsiaTheme="majorEastAsia" w:cstheme="majorEastAsia"/>
                <w:sz w:val="24"/>
                <w:szCs w:val="24"/>
                <w:vertAlign w:val="baseline"/>
                <w:lang w:eastAsia="zh-CN"/>
              </w:rPr>
              <w:t>、最大分辨率</w:t>
            </w:r>
            <w:r>
              <w:rPr>
                <w:rFonts w:hint="eastAsia" w:asciiTheme="majorEastAsia" w:hAnsiTheme="majorEastAsia" w:eastAsiaTheme="majorEastAsia" w:cstheme="majorEastAsia"/>
                <w:sz w:val="24"/>
                <w:szCs w:val="24"/>
                <w:vertAlign w:val="baseline"/>
              </w:rPr>
              <w:t xml:space="preserve"> </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szCs w:val="24"/>
                <w:vertAlign w:val="baseline"/>
              </w:rPr>
              <w:t>1920*1080</w:t>
            </w:r>
            <w:r>
              <w:rPr>
                <w:rFonts w:hint="eastAsia" w:asciiTheme="majorEastAsia" w:hAnsiTheme="majorEastAsia" w:eastAsiaTheme="majorEastAsia" w:cstheme="majorEastAsia"/>
                <w:sz w:val="24"/>
                <w:szCs w:val="24"/>
                <w:vertAlign w:val="baseline"/>
                <w:lang w:eastAsia="zh-CN"/>
              </w:rPr>
              <w:t>全高清</w:t>
            </w:r>
            <w:r>
              <w:rPr>
                <w:rFonts w:hint="eastAsia" w:asciiTheme="majorEastAsia" w:hAnsiTheme="majorEastAsia" w:eastAsiaTheme="majorEastAsia" w:cstheme="majorEastAsia"/>
                <w:sz w:val="24"/>
                <w:szCs w:val="24"/>
                <w:vertAlign w:val="baseli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2、广播级高清视频板卡：多通套高清采集卡；</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3、高清虚拟演播系统软件：支持多机位独立色键抠像，可实现单机双通道，前景分割、无线蓝箱等虚拟演播功能；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4、场景模板库：内置100套三维场景模板库。</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套</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w:t>
            </w:r>
            <w:r>
              <w:rPr>
                <w:rFonts w:hint="eastAsia" w:asciiTheme="majorEastAsia" w:hAnsiTheme="majorEastAsia" w:eastAsiaTheme="majorEastAsia" w:cstheme="majorEastAsia"/>
                <w:sz w:val="24"/>
                <w:szCs w:val="24"/>
                <w:vertAlign w:val="baseline"/>
                <w:lang w:val="en-US" w:eastAsia="zh-CN"/>
              </w:rPr>
              <w:t xml:space="preserve">一 </w:t>
            </w:r>
            <w:r>
              <w:rPr>
                <w:rFonts w:hint="eastAsia" w:asciiTheme="majorEastAsia" w:hAnsiTheme="majorEastAsia" w:eastAsiaTheme="majorEastAsia" w:cstheme="majorEastAsia"/>
                <w:sz w:val="24"/>
                <w:szCs w:val="24"/>
                <w:vertAlign w:val="baseli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4</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调音台</w:t>
            </w:r>
          </w:p>
        </w:tc>
        <w:tc>
          <w:tcPr>
            <w:tcW w:w="5632" w:type="dxa"/>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10通道调音台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4个话筒 / 10个线路输入 (4个单声道 + 3个立体声)</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1立体声母线</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 AUX (包括FX)</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“D-PRE”话放，带有倒向晶体管电路。</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单旋钮压缩器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效果器：SPX，含24组预置效果器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24-bit/192kHz 2进/2出 USB音频功能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通过Apple iPad Camera Connection Kit / Lightning to USB Camera Adapter (连接适配器)与iPad (2或更高版本) 连接工作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含Cubase AI DAW下载版软件。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Cubasis LE（iPad版）可通过App Store 下载。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单声道输入通道上的PAD开关</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+48V幻象供电</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XLR平衡输出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 xml:space="preserve">金属机身 </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台</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5</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一拖二无线话筒</w:t>
            </w:r>
          </w:p>
        </w:tc>
        <w:tc>
          <w:tcPr>
            <w:tcW w:w="5632" w:type="dxa"/>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双通道便携式接收器可以提供2声道音频处理级音质以及稳定的模拟FM调制。双通道接收器电源可独立管理，可提供宽频率范围并覆盖多个通道，还提供多种模式供用户选择。易于使用的功能：大屏幕、小尺寸机身可安装在任何尺寸的摄像机或DSL单反相机上、自动选道设置功能、耳机输出、USB电源连接以及线路输出。另外它还有出色的瞬态响应性能，进而实现无线系统对音频的高保真传送。</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套</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w:t>
            </w:r>
            <w:r>
              <w:rPr>
                <w:rFonts w:hint="eastAsia" w:asciiTheme="majorEastAsia" w:hAnsiTheme="majorEastAsia" w:eastAsiaTheme="majorEastAsia" w:cstheme="majorEastAsia"/>
                <w:sz w:val="24"/>
                <w:szCs w:val="24"/>
                <w:vertAlign w:val="baseline"/>
                <w:lang w:eastAsia="zh-CN"/>
              </w:rPr>
              <w:t>一</w:t>
            </w:r>
            <w:r>
              <w:rPr>
                <w:rFonts w:hint="eastAsia" w:asciiTheme="majorEastAsia" w:hAnsiTheme="majorEastAsia" w:eastAsiaTheme="majorEastAsia" w:cstheme="majorEastAsia"/>
                <w:sz w:val="24"/>
                <w:szCs w:val="24"/>
                <w:vertAlign w:val="baseli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6</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音频加嵌器</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1、支持音频可解嵌为平衡模拟或AES/EBU；</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2、支持SDI到HDMI或HDMI到SDI转换。</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个</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7</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影视虚拟摄影棚设备线材配件及安装调试</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1、系统线材、接头及配件；</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2、设备的采购、装配、运输、安装、培训、调试。</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480" w:type="dxa"/>
            <w:gridSpan w:val="6"/>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b/>
                <w:bCs/>
                <w:sz w:val="24"/>
                <w:szCs w:val="24"/>
                <w:vertAlign w:val="baseline"/>
              </w:rPr>
              <w:t>二、摄影棚灯光设备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影视LED平板灯</w:t>
            </w:r>
          </w:p>
        </w:tc>
        <w:tc>
          <w:tcPr>
            <w:tcW w:w="5632" w:type="dxa"/>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1、影视LED平板灯，功率：≥100W；</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2、显色指数：≥90,色温：≥5600K；</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3、控制协议：手动调光；</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4、冷却系统：灯体设计散热性强，持续点亮5小时，温升不超25℃。</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台</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标准型恒力铰链</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标准型恒力铰链。</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4</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个</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灯光支架</w:t>
            </w:r>
          </w:p>
        </w:tc>
        <w:tc>
          <w:tcPr>
            <w:tcW w:w="5632" w:type="dxa"/>
            <w:vAlign w:val="center"/>
          </w:tcPr>
          <w:p>
            <w:pPr>
              <w:numPr>
                <w:ilvl w:val="0"/>
                <w:numId w:val="6"/>
              </w:numPr>
              <w:spacing w:line="440" w:lineRule="exact"/>
              <w:rPr>
                <w:rFonts w:asciiTheme="majorEastAsia" w:hAnsiTheme="majorEastAsia" w:eastAsiaTheme="majorEastAsia" w:cstheme="majorEastAsia"/>
                <w:sz w:val="24"/>
              </w:rPr>
            </w:pPr>
            <w:r>
              <w:rPr>
                <w:rFonts w:hint="eastAsia"/>
              </w:rPr>
              <w:t>可伸缩灯光支架。</w:t>
            </w:r>
          </w:p>
          <w:p>
            <w:pPr>
              <w:numPr>
                <w:ilvl w:val="0"/>
                <w:numId w:val="6"/>
              </w:num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净重:</w:t>
            </w:r>
            <w:r>
              <w:rPr>
                <w:rFonts w:hint="eastAsia" w:ascii="宋体" w:hAnsi="宋体" w:eastAsia="宋体" w:cs="宋体"/>
                <w:sz w:val="24"/>
              </w:rPr>
              <w:t>≦</w:t>
            </w:r>
            <w:r>
              <w:rPr>
                <w:rFonts w:hint="eastAsia" w:asciiTheme="majorEastAsia" w:hAnsiTheme="majorEastAsia" w:eastAsiaTheme="majorEastAsia" w:cstheme="majorEastAsia"/>
                <w:sz w:val="24"/>
              </w:rPr>
              <w:t>2.4KG</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 xml:space="preserve"> </w:t>
            </w:r>
          </w:p>
          <w:p>
            <w:pPr>
              <w:numPr>
                <w:ilvl w:val="0"/>
                <w:numId w:val="6"/>
              </w:num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伸缩高度:100CM~150CM</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 xml:space="preserve"> </w:t>
            </w:r>
          </w:p>
          <w:p>
            <w:pPr>
              <w:numPr>
                <w:ilvl w:val="0"/>
                <w:numId w:val="6"/>
              </w:numPr>
              <w:spacing w:line="440" w:lineRule="exact"/>
            </w:pPr>
            <w:r>
              <w:rPr>
                <w:rFonts w:hint="eastAsia" w:asciiTheme="majorEastAsia" w:hAnsiTheme="majorEastAsia" w:eastAsiaTheme="majorEastAsia" w:cstheme="majorEastAsia"/>
                <w:sz w:val="24"/>
              </w:rPr>
              <w:t>材质:不锈钢</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 xml:space="preserve"> </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lang w:val="en-US" w:eastAsia="zh-CN"/>
              </w:rPr>
              <w:t>5、</w:t>
            </w:r>
            <w:r>
              <w:rPr>
                <w:rFonts w:hint="eastAsia" w:asciiTheme="majorEastAsia" w:hAnsiTheme="majorEastAsia" w:eastAsiaTheme="majorEastAsia" w:cstheme="majorEastAsia"/>
                <w:sz w:val="24"/>
              </w:rPr>
              <w:t>承重:约5KG</w:t>
            </w:r>
            <w:r>
              <w:rPr>
                <w:rFonts w:asciiTheme="majorEastAsia" w:hAnsiTheme="majorEastAsia" w:eastAsiaTheme="majorEastAsia" w:cstheme="majorEastAsia"/>
                <w:sz w:val="24"/>
              </w:rPr>
              <w:t>。</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个</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4</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调光台</w:t>
            </w:r>
          </w:p>
        </w:tc>
        <w:tc>
          <w:tcPr>
            <w:tcW w:w="5632" w:type="dxa"/>
            <w:vAlign w:val="center"/>
          </w:tcPr>
          <w:p>
            <w:pPr>
              <w:numPr>
                <w:ilvl w:val="0"/>
                <w:numId w:val="7"/>
              </w:num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控制演播室灯光。</w:t>
            </w:r>
          </w:p>
          <w:p>
            <w:pPr>
              <w:numPr>
                <w:ilvl w:val="0"/>
                <w:numId w:val="7"/>
              </w:num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DMX512标准信号控台；</w:t>
            </w:r>
          </w:p>
          <w:p>
            <w:pPr>
              <w:numPr>
                <w:ilvl w:val="0"/>
                <w:numId w:val="7"/>
              </w:num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有24个Scanner,分A页和B页</w:t>
            </w:r>
          </w:p>
          <w:p>
            <w:pPr>
              <w:numPr>
                <w:ilvl w:val="0"/>
                <w:numId w:val="7"/>
              </w:num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具有下动、声控和自动三种运行模式；</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lang w:val="en-US" w:eastAsia="zh-CN"/>
              </w:rPr>
              <w:t>5、</w:t>
            </w:r>
            <w:r>
              <w:rPr>
                <w:rFonts w:hint="eastAsia" w:asciiTheme="majorEastAsia" w:hAnsiTheme="majorEastAsia" w:eastAsiaTheme="majorEastAsia" w:cstheme="majorEastAsia"/>
                <w:sz w:val="24"/>
              </w:rPr>
              <w:t>在自动运行模式中，FADE可选择个部具有FADE或X/Y具有FADE都具。</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台</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5</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演播室灯光网格架</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演播室灯光架焊接，500*500</w:t>
            </w:r>
            <w:r>
              <w:rPr>
                <w:rFonts w:hint="eastAsia" w:asciiTheme="majorEastAsia" w:hAnsiTheme="majorEastAsia" w:eastAsiaTheme="majorEastAsia" w:cstheme="majorEastAsia"/>
                <w:sz w:val="24"/>
                <w:szCs w:val="24"/>
                <w:vertAlign w:val="baseline"/>
                <w:lang w:val="en-US" w:eastAsia="zh-CN"/>
              </w:rPr>
              <w:t>mm</w:t>
            </w:r>
            <w:r>
              <w:rPr>
                <w:rFonts w:hint="eastAsia" w:asciiTheme="majorEastAsia" w:hAnsiTheme="majorEastAsia" w:eastAsiaTheme="majorEastAsia" w:cstheme="majorEastAsia"/>
                <w:sz w:val="24"/>
                <w:szCs w:val="24"/>
                <w:vertAlign w:val="baseline"/>
              </w:rPr>
              <w:t>间隔，40</w:t>
            </w:r>
            <w:r>
              <w:rPr>
                <w:rFonts w:hint="eastAsia" w:asciiTheme="majorEastAsia" w:hAnsiTheme="majorEastAsia" w:eastAsiaTheme="majorEastAsia" w:cstheme="majorEastAsia"/>
                <w:sz w:val="24"/>
                <w:szCs w:val="24"/>
                <w:vertAlign w:val="baseline"/>
                <w:lang w:val="en-US" w:eastAsia="zh-CN"/>
              </w:rPr>
              <w:t>mm</w:t>
            </w:r>
            <w:r>
              <w:rPr>
                <w:rFonts w:hint="eastAsia" w:asciiTheme="majorEastAsia" w:hAnsiTheme="majorEastAsia" w:eastAsiaTheme="majorEastAsia" w:cstheme="majorEastAsia"/>
                <w:sz w:val="24"/>
                <w:szCs w:val="24"/>
                <w:vertAlign w:val="baseline"/>
              </w:rPr>
              <w:t>镀锌管。</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30</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m2</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6</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摄影棚灯光系统安装配件</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演播室灯具专用电缆线及信号线、灯号牌、保险链、信号接插件、标准件、捆扎件、工具耗材、脚手架、绝缘材料，成品保护件等。</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7</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摄影棚灯光系统设备安装调试费</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包含安装，差旅，食宿，安装调试，培训，施工配件，工具，脚手架等。</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480" w:type="dxa"/>
            <w:gridSpan w:val="6"/>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b/>
                <w:bCs/>
                <w:sz w:val="24"/>
                <w:szCs w:val="24"/>
                <w:vertAlign w:val="baseline"/>
              </w:rPr>
              <w:t>三、虚拟绿箱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隔声门</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lang w:eastAsia="zh-Hans"/>
              </w:rPr>
              <w:t>木质</w:t>
            </w:r>
            <w:r>
              <w:rPr>
                <w:rFonts w:hint="eastAsia" w:asciiTheme="majorEastAsia" w:hAnsiTheme="majorEastAsia" w:eastAsiaTheme="majorEastAsia" w:cstheme="majorEastAsia"/>
                <w:sz w:val="24"/>
              </w:rPr>
              <w:t>隔声门；尺寸:2</w:t>
            </w:r>
            <w:r>
              <w:rPr>
                <w:rFonts w:asciiTheme="majorEastAsia" w:hAnsiTheme="majorEastAsia" w:eastAsiaTheme="majorEastAsia" w:cstheme="majorEastAsia"/>
                <w:sz w:val="24"/>
              </w:rPr>
              <w:t>150</w:t>
            </w:r>
            <w:r>
              <w:rPr>
                <w:rFonts w:hint="eastAsia" w:asciiTheme="majorEastAsia" w:hAnsiTheme="majorEastAsia" w:eastAsiaTheme="majorEastAsia" w:cstheme="majorEastAsia"/>
                <w:sz w:val="24"/>
              </w:rPr>
              <w:t>*</w:t>
            </w:r>
            <w:r>
              <w:rPr>
                <w:rFonts w:asciiTheme="majorEastAsia" w:hAnsiTheme="majorEastAsia" w:eastAsiaTheme="majorEastAsia" w:cstheme="majorEastAsia"/>
                <w:sz w:val="24"/>
              </w:rPr>
              <w:t>900</w:t>
            </w:r>
            <w:r>
              <w:rPr>
                <w:rFonts w:hint="eastAsia" w:asciiTheme="majorEastAsia" w:hAnsiTheme="majorEastAsia" w:eastAsiaTheme="majorEastAsia" w:cstheme="majorEastAsia"/>
                <w:sz w:val="24"/>
              </w:rPr>
              <w:t>mm，隔声量大于35DB。</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color w:val="auto"/>
                <w:kern w:val="2"/>
                <w:sz w:val="24"/>
                <w:szCs w:val="24"/>
                <w:vertAlign w:val="baseline"/>
                <w:lang w:val="en-US" w:eastAsia="zh-CN" w:bidi="ar-SA"/>
              </w:rPr>
            </w:pPr>
            <w:r>
              <w:rPr>
                <w:rFonts w:hint="eastAsia" w:asciiTheme="majorEastAsia" w:hAnsiTheme="majorEastAsia" w:eastAsiaTheme="majorEastAsia" w:cstheme="majorEastAsia"/>
                <w:color w:val="auto"/>
                <w:sz w:val="24"/>
                <w:szCs w:val="24"/>
                <w:vertAlign w:val="baseline"/>
              </w:rPr>
              <w:t>隔墙</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color w:val="auto"/>
                <w:kern w:val="2"/>
                <w:sz w:val="24"/>
                <w:szCs w:val="24"/>
                <w:vertAlign w:val="baseline"/>
                <w:lang w:val="en-US" w:eastAsia="zh-CN" w:bidi="ar-SA"/>
              </w:rPr>
            </w:pPr>
            <w:r>
              <w:rPr>
                <w:rFonts w:hint="eastAsia" w:asciiTheme="majorEastAsia" w:hAnsiTheme="majorEastAsia" w:eastAsiaTheme="majorEastAsia" w:cstheme="majorEastAsia"/>
                <w:color w:val="auto"/>
                <w:sz w:val="24"/>
              </w:rPr>
              <w:t>轻钢龙骨隔墙，尺寸</w:t>
            </w:r>
            <w:r>
              <w:rPr>
                <w:rFonts w:asciiTheme="majorEastAsia" w:hAnsiTheme="majorEastAsia" w:eastAsiaTheme="majorEastAsia" w:cstheme="majorEastAsia"/>
                <w:color w:val="auto"/>
                <w:sz w:val="24"/>
              </w:rPr>
              <w:t>：</w:t>
            </w:r>
            <w:r>
              <w:rPr>
                <w:rFonts w:hint="eastAsia" w:asciiTheme="majorEastAsia" w:hAnsiTheme="majorEastAsia" w:eastAsiaTheme="majorEastAsia" w:cstheme="majorEastAsia"/>
                <w:color w:val="auto"/>
                <w:sz w:val="24"/>
              </w:rPr>
              <w:t>2</w:t>
            </w:r>
            <w:r>
              <w:rPr>
                <w:rFonts w:asciiTheme="majorEastAsia" w:hAnsiTheme="majorEastAsia" w:eastAsiaTheme="majorEastAsia" w:cstheme="majorEastAsia"/>
                <w:color w:val="auto"/>
                <w:sz w:val="24"/>
              </w:rPr>
              <w:t>840</w:t>
            </w:r>
            <w:r>
              <w:rPr>
                <w:rFonts w:hint="eastAsia" w:asciiTheme="majorEastAsia" w:hAnsiTheme="majorEastAsia" w:eastAsiaTheme="majorEastAsia" w:cstheme="majorEastAsia"/>
                <w:color w:val="auto"/>
                <w:sz w:val="24"/>
              </w:rPr>
              <w:t>*</w:t>
            </w:r>
            <w:r>
              <w:rPr>
                <w:rFonts w:asciiTheme="majorEastAsia" w:hAnsiTheme="majorEastAsia" w:eastAsiaTheme="majorEastAsia" w:cstheme="majorEastAsia"/>
                <w:color w:val="auto"/>
                <w:sz w:val="24"/>
              </w:rPr>
              <w:t>3200</w:t>
            </w:r>
            <w:r>
              <w:rPr>
                <w:rFonts w:hint="eastAsia" w:asciiTheme="majorEastAsia" w:hAnsiTheme="majorEastAsia" w:eastAsiaTheme="majorEastAsia" w:cstheme="majorEastAsia"/>
                <w:color w:val="auto"/>
                <w:sz w:val="24"/>
              </w:rPr>
              <w:t>mm</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虚拟绿箱</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1、ROSC抠像漆，绿箱整体色调保持一致，表面平滑无针孔、褶皱、起泡等现象；</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2、立面与弧面、立面与地板、弧面与地板连接处过渡平滑，无棱角和缝隙；</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69</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m2</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4</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建筑垃圾清理及外运</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建筑垃圾清理及外运人工费。</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color w:val="auto"/>
                <w:kern w:val="2"/>
                <w:sz w:val="24"/>
                <w:szCs w:val="24"/>
                <w:vertAlign w:val="baseline"/>
                <w:lang w:val="en-US" w:eastAsia="zh-CN" w:bidi="ar-SA"/>
              </w:rPr>
            </w:pPr>
            <w:r>
              <w:rPr>
                <w:rFonts w:hint="eastAsia" w:asciiTheme="majorEastAsia" w:hAnsiTheme="majorEastAsia" w:eastAsiaTheme="majorEastAsia" w:cstheme="majorEastAsia"/>
                <w:color w:val="auto"/>
                <w:sz w:val="24"/>
                <w:szCs w:val="24"/>
                <w:vertAlign w:val="baseline"/>
                <w:lang w:val="en-US" w:eastAsia="zh-CN"/>
              </w:rPr>
              <w:t>5</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color w:val="auto"/>
                <w:kern w:val="2"/>
                <w:sz w:val="24"/>
                <w:szCs w:val="24"/>
                <w:vertAlign w:val="baseline"/>
                <w:lang w:val="en-US" w:eastAsia="zh-CN" w:bidi="ar-SA"/>
              </w:rPr>
            </w:pPr>
            <w:r>
              <w:rPr>
                <w:rFonts w:hint="eastAsia" w:asciiTheme="majorEastAsia" w:hAnsiTheme="majorEastAsia" w:eastAsiaTheme="majorEastAsia" w:cstheme="majorEastAsia"/>
                <w:color w:val="auto"/>
                <w:sz w:val="24"/>
                <w:szCs w:val="24"/>
                <w:vertAlign w:val="baseline"/>
              </w:rPr>
              <w:t>控制桌</w:t>
            </w:r>
          </w:p>
        </w:tc>
        <w:tc>
          <w:tcPr>
            <w:tcW w:w="5632" w:type="dxa"/>
            <w:vAlign w:val="center"/>
          </w:tcPr>
          <w:p>
            <w:pPr>
              <w:spacing w:line="440" w:lineRule="exact"/>
              <w:rPr>
                <w:rFonts w:asciiTheme="majorEastAsia" w:hAnsiTheme="majorEastAsia" w:eastAsiaTheme="majorEastAsia" w:cstheme="majorEastAsia"/>
                <w:color w:val="auto"/>
                <w:sz w:val="24"/>
              </w:rPr>
            </w:pPr>
            <w:r>
              <w:rPr>
                <w:rFonts w:asciiTheme="majorEastAsia" w:hAnsiTheme="majorEastAsia" w:eastAsiaTheme="majorEastAsia" w:cstheme="majorEastAsia"/>
                <w:color w:val="auto"/>
                <w:sz w:val="24"/>
              </w:rPr>
              <w:t>1、</w:t>
            </w:r>
            <w:r>
              <w:rPr>
                <w:rFonts w:hint="eastAsia" w:asciiTheme="majorEastAsia" w:hAnsiTheme="majorEastAsia" w:eastAsiaTheme="majorEastAsia" w:cstheme="majorEastAsia"/>
                <w:color w:val="auto"/>
                <w:sz w:val="24"/>
              </w:rPr>
              <w:t>控制桌尺寸</w:t>
            </w:r>
            <w:r>
              <w:rPr>
                <w:rFonts w:asciiTheme="majorEastAsia" w:hAnsiTheme="majorEastAsia" w:eastAsiaTheme="majorEastAsia" w:cstheme="majorEastAsia"/>
                <w:color w:val="auto"/>
                <w:sz w:val="24"/>
                <w:lang w:eastAsia="zh-Hans"/>
              </w:rPr>
              <w:t>：</w:t>
            </w:r>
            <w:r>
              <w:rPr>
                <w:rFonts w:hint="eastAsia" w:asciiTheme="majorEastAsia" w:hAnsiTheme="majorEastAsia" w:eastAsiaTheme="majorEastAsia" w:cstheme="majorEastAsia"/>
                <w:color w:val="auto"/>
                <w:sz w:val="24"/>
              </w:rPr>
              <w:t>1</w:t>
            </w:r>
            <w:r>
              <w:rPr>
                <w:rFonts w:asciiTheme="majorEastAsia" w:hAnsiTheme="majorEastAsia" w:eastAsiaTheme="majorEastAsia" w:cstheme="majorEastAsia"/>
                <w:color w:val="auto"/>
                <w:sz w:val="24"/>
              </w:rPr>
              <w:t>800</w:t>
            </w:r>
            <w:r>
              <w:rPr>
                <w:rFonts w:hint="eastAsia" w:asciiTheme="majorEastAsia" w:hAnsiTheme="majorEastAsia" w:eastAsiaTheme="majorEastAsia" w:cstheme="majorEastAsia"/>
                <w:color w:val="auto"/>
                <w:sz w:val="24"/>
              </w:rPr>
              <w:t>*</w:t>
            </w:r>
            <w:r>
              <w:rPr>
                <w:rFonts w:asciiTheme="majorEastAsia" w:hAnsiTheme="majorEastAsia" w:eastAsiaTheme="majorEastAsia" w:cstheme="majorEastAsia"/>
                <w:color w:val="auto"/>
                <w:sz w:val="24"/>
              </w:rPr>
              <w:t>800</w:t>
            </w:r>
            <w:r>
              <w:rPr>
                <w:rFonts w:hint="eastAsia" w:asciiTheme="majorEastAsia" w:hAnsiTheme="majorEastAsia" w:eastAsiaTheme="majorEastAsia" w:cstheme="majorEastAsia"/>
                <w:color w:val="auto"/>
                <w:sz w:val="24"/>
              </w:rPr>
              <w:t>mm；</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color w:val="auto"/>
                <w:kern w:val="2"/>
                <w:sz w:val="24"/>
                <w:szCs w:val="24"/>
                <w:vertAlign w:val="baseline"/>
                <w:lang w:val="en-US" w:eastAsia="zh-CN" w:bidi="ar-SA"/>
              </w:rPr>
            </w:pPr>
            <w:r>
              <w:rPr>
                <w:rFonts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sz w:val="24"/>
              </w:rPr>
              <w:t>台板为中纤板、表面喷PU漆，采用网孔状侧板，便于设备散热；含拉铝圆柱底座、PDU配置一个、设备柜一个。</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位</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480" w:type="dxa"/>
            <w:gridSpan w:val="6"/>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b/>
                <w:bCs/>
                <w:sz w:val="24"/>
                <w:szCs w:val="24"/>
                <w:vertAlign w:val="baseline"/>
                <w:lang w:eastAsia="zh-CN"/>
              </w:rPr>
              <w:t>四、墙体部分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青少年影视体验馆中国·莆田</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室内前台（黑体，蓝字）腻子粉墙体修复</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13</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字</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莆田青少年影视体验馆</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门口，（黑体，白字）发光字加铝塑板、高空安装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10</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字</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375*270cm（拆除加安装）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10.13</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4</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335*270cm（拆除加安装）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9.05</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5</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385*270cm（拆除加安装）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10.4</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6</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355*270cm（拆除加安装）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9.59</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7</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130*270cm*2（拆除加安装）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7.02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rPr>
              <w:t>平方</w:t>
            </w:r>
          </w:p>
        </w:tc>
        <w:tc>
          <w:tcPr>
            <w:tcW w:w="62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8</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110*270cm（拆除加安装）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2.97</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9</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215*270cm（拆除加安装）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5.81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10</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665*370cm（拆除加安装）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24.61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380*490cm（拆除加安装）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18.62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12</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360*380cm（拆除加安装）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13.68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13</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370*320cm（拆除加安装）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11.84</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14</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480*530cm（拆除加安装）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25.44</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15</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320*370cm*2（拆除加安装）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23.68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16</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13.8*2.6m（灯柱墙），墙体修复</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35.88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17</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490*465</w:t>
            </w:r>
            <w:r>
              <w:rPr>
                <w:rFonts w:hint="eastAsia" w:asciiTheme="majorEastAsia" w:hAnsiTheme="majorEastAsia" w:eastAsiaTheme="majorEastAsia" w:cstheme="majorEastAsia"/>
                <w:sz w:val="24"/>
              </w:rPr>
              <w:t>cm</w:t>
            </w:r>
            <w:r>
              <w:rPr>
                <w:rFonts w:hint="eastAsia" w:asciiTheme="majorEastAsia" w:hAnsiTheme="majorEastAsia" w:eastAsiaTheme="majorEastAsia" w:cstheme="majorEastAsia"/>
                <w:sz w:val="24"/>
                <w:szCs w:val="24"/>
                <w:vertAlign w:val="baseline"/>
              </w:rPr>
              <w:t>（虚拟厅门口）</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22.78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18</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340*375</w:t>
            </w:r>
            <w:r>
              <w:rPr>
                <w:rFonts w:hint="eastAsia" w:asciiTheme="majorEastAsia" w:hAnsiTheme="majorEastAsia" w:eastAsiaTheme="majorEastAsia" w:cstheme="majorEastAsia"/>
                <w:sz w:val="24"/>
              </w:rPr>
              <w:t>cm</w:t>
            </w:r>
            <w:r>
              <w:rPr>
                <w:rFonts w:hint="eastAsia" w:asciiTheme="majorEastAsia" w:hAnsiTheme="majorEastAsia" w:eastAsiaTheme="majorEastAsia" w:cstheme="majorEastAsia"/>
                <w:sz w:val="24"/>
                <w:szCs w:val="24"/>
                <w:vertAlign w:val="baseline"/>
              </w:rPr>
              <w:t>（虚拟厅门口）</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12.75</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19</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537</w:t>
            </w:r>
            <w:r>
              <w:rPr>
                <w:rFonts w:hint="eastAsia" w:asciiTheme="majorEastAsia" w:hAnsiTheme="majorEastAsia" w:eastAsiaTheme="majorEastAsia" w:cstheme="majorEastAsia"/>
                <w:sz w:val="24"/>
                <w:szCs w:val="24"/>
                <w:vertAlign w:val="baseline"/>
              </w:rPr>
              <w:t>*</w:t>
            </w:r>
            <w:r>
              <w:rPr>
                <w:rFonts w:hint="eastAsia" w:asciiTheme="majorEastAsia" w:hAnsiTheme="majorEastAsia" w:eastAsiaTheme="majorEastAsia" w:cstheme="majorEastAsia"/>
                <w:sz w:val="24"/>
                <w:szCs w:val="24"/>
                <w:vertAlign w:val="baseline"/>
                <w:lang w:val="en-US" w:eastAsia="zh-CN"/>
              </w:rPr>
              <w:t>480</w:t>
            </w:r>
            <w:r>
              <w:rPr>
                <w:rFonts w:hint="eastAsia" w:asciiTheme="majorEastAsia" w:hAnsiTheme="majorEastAsia" w:eastAsiaTheme="majorEastAsia" w:cstheme="majorEastAsia"/>
                <w:sz w:val="24"/>
              </w:rPr>
              <w:t>cm</w:t>
            </w:r>
            <w:r>
              <w:rPr>
                <w:rFonts w:hint="eastAsia" w:asciiTheme="majorEastAsia" w:hAnsiTheme="majorEastAsia" w:eastAsiaTheme="majorEastAsia" w:cstheme="majorEastAsia"/>
                <w:sz w:val="24"/>
                <w:szCs w:val="24"/>
                <w:vertAlign w:val="baseline"/>
              </w:rPr>
              <w:t>（影院侧门墙面）</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kern w:val="2"/>
                <w:sz w:val="24"/>
                <w:szCs w:val="24"/>
                <w:vertAlign w:val="baseline"/>
                <w:lang w:val="en-US" w:eastAsia="zh-CN" w:bidi="ar-SA"/>
              </w:rPr>
              <w:t>25.78</w:t>
            </w:r>
            <w:bookmarkStart w:id="23" w:name="_GoBack"/>
            <w:bookmarkEnd w:id="23"/>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20</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背胶黑底加亚膜</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rPr>
              <w:t>（61+80+85+672+158+118）*388cm（橱窗）</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45.55</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弧形条背胶</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900*120cm（拆除加安装）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10.8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22</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弧形条背胶</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790*120cm（拆除加安装）</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9.48</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23</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舞台</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长3.6m*宽5.1m*高40cm，2个台阶，钢结构舞台+模板+红色地毯</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平方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24</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LED屏支架</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主管10*10</w:t>
            </w:r>
            <w:r>
              <w:rPr>
                <w:rFonts w:hint="eastAsia" w:asciiTheme="majorEastAsia" w:hAnsiTheme="majorEastAsia" w:eastAsiaTheme="majorEastAsia" w:cstheme="majorEastAsia"/>
                <w:sz w:val="24"/>
                <w:szCs w:val="24"/>
                <w:vertAlign w:val="baseline"/>
                <w:lang w:val="en-US" w:eastAsia="zh-CN"/>
              </w:rPr>
              <w:t>cm</w:t>
            </w:r>
            <w:r>
              <w:rPr>
                <w:rFonts w:hint="eastAsia" w:asciiTheme="majorEastAsia" w:hAnsiTheme="majorEastAsia" w:eastAsiaTheme="majorEastAsia" w:cstheme="majorEastAsia"/>
                <w:sz w:val="24"/>
                <w:szCs w:val="24"/>
                <w:vertAlign w:val="baseline"/>
              </w:rPr>
              <w:t>镀锌管，副管2*4</w:t>
            </w:r>
            <w:r>
              <w:rPr>
                <w:rFonts w:hint="eastAsia" w:asciiTheme="majorEastAsia" w:hAnsiTheme="majorEastAsia" w:eastAsiaTheme="majorEastAsia" w:cstheme="majorEastAsia"/>
                <w:sz w:val="24"/>
                <w:szCs w:val="24"/>
                <w:vertAlign w:val="baseline"/>
                <w:lang w:val="en-US" w:eastAsia="zh-CN"/>
              </w:rPr>
              <w:t>cm</w:t>
            </w:r>
            <w:r>
              <w:rPr>
                <w:rFonts w:hint="eastAsia" w:asciiTheme="majorEastAsia" w:hAnsiTheme="majorEastAsia" w:eastAsiaTheme="majorEastAsia" w:cstheme="majorEastAsia"/>
                <w:sz w:val="24"/>
                <w:szCs w:val="24"/>
                <w:vertAlign w:val="baseline"/>
              </w:rPr>
              <w:t>焊接，大屏包边304无指纹铁架</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25</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LED屏安装</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LED屏安装、调试、灯板测试、故障维修等</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26</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铁衣架</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150X250x110，镀锌方管焊接</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个</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27</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木箱</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highlight w:val="none"/>
              </w:rPr>
              <w:t>台阶13.2</w:t>
            </w:r>
            <w:r>
              <w:rPr>
                <w:rFonts w:hint="eastAsia" w:asciiTheme="majorEastAsia" w:hAnsiTheme="majorEastAsia" w:eastAsiaTheme="majorEastAsia" w:cstheme="majorEastAsia"/>
                <w:color w:val="auto"/>
                <w:sz w:val="24"/>
                <w:highlight w:val="none"/>
              </w:rPr>
              <w:t>长</w:t>
            </w:r>
            <w:r>
              <w:rPr>
                <w:rFonts w:hint="eastAsia" w:asciiTheme="majorEastAsia" w:hAnsiTheme="majorEastAsia" w:eastAsiaTheme="majorEastAsia" w:cstheme="majorEastAsia"/>
                <w:color w:val="auto"/>
                <w:sz w:val="24"/>
                <w:highlight w:val="none"/>
                <w:lang w:val="en-US" w:eastAsia="zh-CN"/>
              </w:rPr>
              <w:t>m</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rPr>
              <w:t>宽度50cm，高度20cm。阻</w:t>
            </w:r>
            <w:r>
              <w:rPr>
                <w:rFonts w:hint="eastAsia" w:asciiTheme="majorEastAsia" w:hAnsiTheme="majorEastAsia" w:eastAsiaTheme="majorEastAsia" w:cstheme="majorEastAsia"/>
                <w:sz w:val="24"/>
              </w:rPr>
              <w:t>燃板打主体架，补土上水泥漆</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个</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28</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灯箱地台</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rPr>
              <w:t>2米高，50PVC管装灯带</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13.2</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米</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29</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灯箱柱</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2米高，50PVC管装灯带</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26</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30</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三角柱</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0.3m*0.3m，白色透光亚克力</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136</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个</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31</w:t>
            </w:r>
          </w:p>
        </w:tc>
        <w:tc>
          <w:tcPr>
            <w:tcW w:w="1233"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六边形灯箱</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UV喷高透贴</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61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eastAsia="zh-CN"/>
              </w:rPr>
              <w:t>块</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保修期一年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spacing w:line="440" w:lineRule="exact"/>
              <w:jc w:val="cente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lang w:val="en-US" w:eastAsia="zh-CN"/>
              </w:rPr>
              <w:t>32</w:t>
            </w:r>
          </w:p>
        </w:tc>
        <w:tc>
          <w:tcPr>
            <w:tcW w:w="1233" w:type="dxa"/>
            <w:vAlign w:val="center"/>
          </w:tcPr>
          <w:p>
            <w:pPr>
              <w:spacing w:line="440" w:lineRule="exact"/>
              <w:jc w:val="both"/>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lang w:val="en-US" w:eastAsia="zh-CN"/>
              </w:rPr>
              <w:t>海洋馆原设备维护</w:t>
            </w:r>
          </w:p>
        </w:tc>
        <w:tc>
          <w:tcPr>
            <w:tcW w:w="5632" w:type="dxa"/>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kern w:val="2"/>
                <w:sz w:val="24"/>
                <w:szCs w:val="24"/>
                <w:vertAlign w:val="baseline"/>
                <w:lang w:val="en-US" w:eastAsia="zh-CN" w:bidi="ar-SA"/>
              </w:rPr>
              <w:t>设备维护</w:t>
            </w:r>
          </w:p>
        </w:tc>
        <w:tc>
          <w:tcPr>
            <w:tcW w:w="792"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kern w:val="2"/>
                <w:sz w:val="24"/>
                <w:szCs w:val="24"/>
                <w:vertAlign w:val="baseline"/>
                <w:lang w:val="en-US" w:eastAsia="zh-CN" w:bidi="ar-SA"/>
              </w:rPr>
              <w:t>1</w:t>
            </w:r>
          </w:p>
        </w:tc>
        <w:tc>
          <w:tcPr>
            <w:tcW w:w="6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kern w:val="2"/>
                <w:sz w:val="24"/>
                <w:szCs w:val="24"/>
                <w:vertAlign w:val="baseline"/>
                <w:lang w:val="en-US" w:eastAsia="zh-CN" w:bidi="ar-SA"/>
              </w:rPr>
              <w:t>项</w:t>
            </w:r>
          </w:p>
        </w:tc>
        <w:tc>
          <w:tcPr>
            <w:tcW w:w="62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0" w:type="dxa"/>
            <w:gridSpan w:val="6"/>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
                <w:bCs/>
                <w:color w:val="FF0000"/>
                <w:sz w:val="24"/>
                <w:szCs w:val="24"/>
                <w:vertAlign w:val="baseline"/>
                <w:lang w:val="en-US" w:eastAsia="zh-CN"/>
              </w:rPr>
              <w:t>注</w:t>
            </w:r>
            <w:r>
              <w:rPr>
                <w:rFonts w:hint="eastAsia" w:asciiTheme="majorEastAsia" w:hAnsiTheme="majorEastAsia" w:eastAsiaTheme="majorEastAsia" w:cstheme="majorEastAsia"/>
                <w:color w:val="FF0000"/>
                <w:sz w:val="24"/>
                <w:szCs w:val="24"/>
                <w:vertAlign w:val="baseline"/>
                <w:lang w:val="en-US" w:eastAsia="zh-CN"/>
              </w:rPr>
              <w:t>：</w:t>
            </w:r>
            <w:r>
              <w:rPr>
                <w:rFonts w:hint="eastAsia" w:ascii="宋体" w:hAnsi="宋体"/>
                <w:b/>
                <w:color w:val="FF0000"/>
                <w:sz w:val="24"/>
              </w:rPr>
              <w:t>采购的数量为大约数量，投标人</w:t>
            </w:r>
            <w:r>
              <w:rPr>
                <w:rFonts w:hint="eastAsia" w:ascii="宋体" w:hAnsi="宋体"/>
                <w:b/>
                <w:color w:val="FF0000"/>
                <w:sz w:val="24"/>
                <w:lang w:eastAsia="zh-CN"/>
              </w:rPr>
              <w:t>招标文件表明的</w:t>
            </w:r>
            <w:r>
              <w:rPr>
                <w:rFonts w:hint="eastAsia" w:ascii="宋体" w:hAnsi="宋体"/>
                <w:b/>
                <w:color w:val="FF0000"/>
                <w:sz w:val="24"/>
              </w:rPr>
              <w:t>数量进行报价，中标后采购人如有增减，费用则按采购人实际需求数量进行结算，结算价为中标单价×实际需求数量。</w:t>
            </w:r>
          </w:p>
        </w:tc>
      </w:tr>
    </w:tbl>
    <w:p>
      <w:pPr>
        <w:pStyle w:val="15"/>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cs="宋体"/>
          <w:b/>
          <w:bCs/>
          <w:color w:val="auto"/>
          <w:sz w:val="24"/>
          <w:szCs w:val="24"/>
          <w:highlight w:val="none"/>
          <w:lang w:eastAsia="zh-CN"/>
        </w:rPr>
      </w:pPr>
    </w:p>
    <w:p>
      <w:pPr>
        <w:pStyle w:val="15"/>
        <w:keepNext w:val="0"/>
        <w:keepLines w:val="0"/>
        <w:pageBreakBefore w:val="0"/>
        <w:widowControl/>
        <w:kinsoku/>
        <w:wordWrap/>
        <w:overflowPunct/>
        <w:topLinePunct w:val="0"/>
        <w:autoSpaceDE/>
        <w:autoSpaceDN/>
        <w:bidi w:val="0"/>
        <w:adjustRightInd/>
        <w:snapToGrid/>
        <w:spacing w:line="420" w:lineRule="exact"/>
        <w:textAlignment w:val="auto"/>
        <w:rPr>
          <w:rStyle w:val="20"/>
          <w:rFonts w:hint="eastAsia" w:ascii="宋体" w:eastAsia="宋体" w:cs="宋体"/>
          <w:color w:val="auto"/>
          <w:sz w:val="24"/>
          <w:szCs w:val="24"/>
          <w:highlight w:val="none"/>
          <w:lang w:eastAsia="zh-CN"/>
        </w:rPr>
      </w:pPr>
      <w:r>
        <w:rPr>
          <w:rFonts w:hint="eastAsia" w:ascii="宋体" w:hAnsi="宋体" w:cs="宋体"/>
          <w:b/>
          <w:bCs/>
          <w:color w:val="auto"/>
          <w:sz w:val="24"/>
          <w:szCs w:val="24"/>
          <w:highlight w:val="none"/>
          <w:lang w:eastAsia="zh-CN"/>
        </w:rPr>
        <w:t>二</w:t>
      </w:r>
      <w:r>
        <w:rPr>
          <w:rFonts w:hint="eastAsia" w:ascii="宋体" w:hAnsi="宋体" w:cs="宋体"/>
          <w:b/>
          <w:bCs/>
          <w:color w:val="auto"/>
          <w:sz w:val="24"/>
          <w:szCs w:val="24"/>
          <w:highlight w:val="none"/>
        </w:rPr>
        <w:t>、商务条件</w:t>
      </w:r>
      <w:r>
        <w:rPr>
          <w:rStyle w:val="20"/>
          <w:rFonts w:ascii="宋体" w:hAnsi="宋体" w:cs="宋体"/>
          <w:color w:val="auto"/>
          <w:sz w:val="24"/>
          <w:szCs w:val="24"/>
          <w:highlight w:val="none"/>
        </w:rPr>
        <w:br w:type="textWrapping"/>
      </w:r>
      <w:r>
        <w:rPr>
          <w:rStyle w:val="20"/>
          <w:rFonts w:ascii="宋体" w:hAnsi="宋体" w:cs="宋体"/>
          <w:color w:val="auto"/>
          <w:sz w:val="24"/>
          <w:szCs w:val="24"/>
          <w:highlight w:val="none"/>
        </w:rPr>
        <w:t>1</w:t>
      </w:r>
      <w:r>
        <w:rPr>
          <w:rStyle w:val="20"/>
          <w:rFonts w:hint="eastAsia" w:ascii="宋体" w:hAnsi="宋体" w:cs="宋体"/>
          <w:color w:val="auto"/>
          <w:sz w:val="24"/>
          <w:szCs w:val="24"/>
          <w:highlight w:val="none"/>
        </w:rPr>
        <w:t>、交付地点：</w:t>
      </w:r>
      <w:r>
        <w:rPr>
          <w:rStyle w:val="20"/>
          <w:rFonts w:hint="eastAsia" w:ascii="宋体" w:hAnsi="宋体" w:cs="宋体"/>
          <w:b w:val="0"/>
          <w:bCs/>
          <w:color w:val="auto"/>
          <w:spacing w:val="0"/>
          <w:sz w:val="24"/>
          <w:szCs w:val="24"/>
          <w:highlight w:val="none"/>
          <w:lang w:eastAsia="zh-CN"/>
        </w:rPr>
        <w:t>莆田市振兴乡村科技服务股份有限公司</w:t>
      </w:r>
    </w:p>
    <w:p>
      <w:pPr>
        <w:pStyle w:val="15"/>
        <w:keepNext w:val="0"/>
        <w:keepLines w:val="0"/>
        <w:pageBreakBefore w:val="0"/>
        <w:widowControl/>
        <w:kinsoku/>
        <w:wordWrap/>
        <w:overflowPunct/>
        <w:topLinePunct w:val="0"/>
        <w:autoSpaceDE/>
        <w:autoSpaceDN/>
        <w:bidi w:val="0"/>
        <w:adjustRightInd/>
        <w:snapToGrid/>
        <w:spacing w:line="420" w:lineRule="exact"/>
        <w:textAlignment w:val="auto"/>
        <w:rPr>
          <w:rStyle w:val="20"/>
          <w:rFonts w:hint="eastAsia" w:ascii="宋体" w:hAnsi="宋体" w:eastAsia="宋体" w:cs="宋体"/>
          <w:color w:val="auto"/>
          <w:spacing w:val="0"/>
          <w:sz w:val="24"/>
          <w:szCs w:val="24"/>
          <w:highlight w:val="none"/>
        </w:rPr>
      </w:pPr>
      <w:r>
        <w:rPr>
          <w:rStyle w:val="20"/>
          <w:rFonts w:ascii="宋体" w:hAnsi="宋体" w:cs="宋体"/>
          <w:color w:val="auto"/>
          <w:sz w:val="24"/>
          <w:szCs w:val="24"/>
          <w:highlight w:val="none"/>
        </w:rPr>
        <w:t>2</w:t>
      </w:r>
      <w:r>
        <w:rPr>
          <w:rStyle w:val="20"/>
          <w:rFonts w:hint="eastAsia" w:ascii="宋体" w:hAnsi="宋体" w:cs="宋体"/>
          <w:color w:val="auto"/>
          <w:sz w:val="24"/>
          <w:szCs w:val="24"/>
          <w:highlight w:val="none"/>
        </w:rPr>
        <w:t>、交付时间：</w:t>
      </w:r>
      <w:r>
        <w:rPr>
          <w:rStyle w:val="20"/>
          <w:rFonts w:hint="eastAsia" w:ascii="宋体" w:hAnsi="宋体" w:eastAsia="宋体" w:cs="宋体"/>
          <w:b w:val="0"/>
          <w:bCs/>
          <w:color w:val="FF0000"/>
          <w:spacing w:val="0"/>
          <w:sz w:val="24"/>
          <w:szCs w:val="24"/>
          <w:highlight w:val="none"/>
          <w:lang w:eastAsia="zh-CN"/>
        </w:rPr>
        <w:t>中标公示后</w:t>
      </w:r>
      <w:r>
        <w:rPr>
          <w:rStyle w:val="20"/>
          <w:rFonts w:hint="eastAsia" w:ascii="宋体" w:hAnsi="宋体" w:eastAsia="宋体" w:cs="宋体"/>
          <w:b w:val="0"/>
          <w:bCs/>
          <w:color w:val="FF0000"/>
          <w:spacing w:val="0"/>
          <w:sz w:val="24"/>
          <w:szCs w:val="24"/>
          <w:highlight w:val="none"/>
          <w:lang w:val="en-US" w:eastAsia="zh-CN"/>
        </w:rPr>
        <w:t>2日内签订合同，</w:t>
      </w:r>
      <w:r>
        <w:rPr>
          <w:rStyle w:val="20"/>
          <w:rFonts w:hint="eastAsia" w:ascii="宋体" w:hAnsi="宋体" w:eastAsia="宋体" w:cs="宋体"/>
          <w:b w:val="0"/>
          <w:bCs/>
          <w:color w:val="0000FF"/>
          <w:spacing w:val="0"/>
          <w:sz w:val="24"/>
          <w:szCs w:val="24"/>
          <w:highlight w:val="none"/>
          <w:lang w:eastAsia="zh-CN"/>
        </w:rPr>
        <w:t>合同签订后</w:t>
      </w:r>
      <w:r>
        <w:rPr>
          <w:rStyle w:val="20"/>
          <w:rFonts w:hint="eastAsia" w:ascii="宋体" w:hAnsi="宋体" w:cs="宋体"/>
          <w:b w:val="0"/>
          <w:bCs/>
          <w:color w:val="0000FF"/>
          <w:spacing w:val="0"/>
          <w:sz w:val="24"/>
          <w:szCs w:val="24"/>
          <w:highlight w:val="none"/>
          <w:lang w:val="en-US" w:eastAsia="zh-CN"/>
        </w:rPr>
        <w:t>20</w:t>
      </w:r>
      <w:r>
        <w:rPr>
          <w:rStyle w:val="20"/>
          <w:rFonts w:hint="eastAsia" w:ascii="宋体" w:hAnsi="宋体" w:eastAsia="宋体" w:cs="宋体"/>
          <w:b w:val="0"/>
          <w:bCs/>
          <w:color w:val="0000FF"/>
          <w:spacing w:val="0"/>
          <w:sz w:val="24"/>
          <w:szCs w:val="24"/>
          <w:highlight w:val="none"/>
          <w:lang w:val="en-US" w:eastAsia="zh-CN"/>
        </w:rPr>
        <w:t>日</w:t>
      </w:r>
      <w:r>
        <w:rPr>
          <w:rStyle w:val="20"/>
          <w:rFonts w:hint="eastAsia" w:ascii="宋体" w:hAnsi="宋体" w:eastAsia="宋体" w:cs="宋体"/>
          <w:b w:val="0"/>
          <w:bCs/>
          <w:color w:val="0000FF"/>
          <w:spacing w:val="0"/>
          <w:sz w:val="24"/>
          <w:szCs w:val="24"/>
          <w:highlight w:val="none"/>
          <w:lang w:eastAsia="zh-CN"/>
        </w:rPr>
        <w:t>内完成交付</w:t>
      </w:r>
      <w:r>
        <w:rPr>
          <w:rStyle w:val="20"/>
          <w:rFonts w:hint="eastAsia" w:ascii="宋体" w:hAnsi="宋体" w:eastAsia="宋体" w:cs="宋体"/>
          <w:b w:val="0"/>
          <w:bCs/>
          <w:color w:val="FF0000"/>
          <w:spacing w:val="0"/>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20" w:lineRule="exact"/>
        <w:textAlignment w:val="auto"/>
        <w:rPr>
          <w:color w:val="auto"/>
          <w:sz w:val="24"/>
          <w:szCs w:val="24"/>
          <w:highlight w:val="none"/>
        </w:rPr>
      </w:pPr>
      <w:r>
        <w:rPr>
          <w:rStyle w:val="20"/>
          <w:rFonts w:ascii="宋体" w:hAnsi="宋体" w:cs="宋体"/>
          <w:color w:val="auto"/>
          <w:sz w:val="24"/>
          <w:szCs w:val="24"/>
          <w:highlight w:val="none"/>
        </w:rPr>
        <w:t>3</w:t>
      </w:r>
      <w:r>
        <w:rPr>
          <w:rStyle w:val="20"/>
          <w:rFonts w:hint="eastAsia" w:ascii="宋体" w:hAnsi="宋体" w:cs="宋体"/>
          <w:color w:val="auto"/>
          <w:sz w:val="24"/>
          <w:szCs w:val="24"/>
          <w:highlight w:val="none"/>
        </w:rPr>
        <w:t>、交付条件：</w:t>
      </w:r>
      <w:r>
        <w:rPr>
          <w:rStyle w:val="20"/>
          <w:rFonts w:hint="eastAsia" w:ascii="宋体" w:hAnsi="宋体" w:cs="宋体"/>
          <w:b w:val="0"/>
          <w:bCs/>
          <w:color w:val="auto"/>
          <w:sz w:val="24"/>
          <w:szCs w:val="24"/>
          <w:highlight w:val="none"/>
          <w:lang w:eastAsia="zh-CN"/>
        </w:rPr>
        <w:t>按招标文件要求。</w:t>
      </w:r>
      <w:r>
        <w:rPr>
          <w:rStyle w:val="20"/>
          <w:rFonts w:ascii="宋体" w:cs="宋体"/>
          <w:color w:val="auto"/>
          <w:sz w:val="24"/>
          <w:szCs w:val="24"/>
          <w:highlight w:val="none"/>
        </w:rPr>
        <w:br w:type="textWrapping"/>
      </w:r>
      <w:r>
        <w:rPr>
          <w:rStyle w:val="20"/>
          <w:rFonts w:ascii="宋体" w:hAnsi="宋体" w:cs="宋体"/>
          <w:color w:val="auto"/>
          <w:sz w:val="24"/>
          <w:szCs w:val="24"/>
          <w:highlight w:val="none"/>
        </w:rPr>
        <w:t>4</w:t>
      </w:r>
      <w:r>
        <w:rPr>
          <w:rStyle w:val="20"/>
          <w:rFonts w:hint="eastAsia" w:ascii="宋体" w:hAnsi="宋体" w:cs="宋体"/>
          <w:color w:val="auto"/>
          <w:sz w:val="24"/>
          <w:szCs w:val="24"/>
          <w:highlight w:val="none"/>
        </w:rPr>
        <w:t>、是否收取履约保证金：</w:t>
      </w:r>
      <w:r>
        <w:rPr>
          <w:rStyle w:val="20"/>
          <w:rFonts w:hint="eastAsia" w:ascii="宋体" w:hAnsi="宋体" w:cs="宋体"/>
          <w:b w:val="0"/>
          <w:bCs/>
          <w:color w:val="FF0000"/>
          <w:sz w:val="24"/>
          <w:szCs w:val="24"/>
          <w:highlight w:val="none"/>
          <w:lang w:eastAsia="zh-CN"/>
        </w:rPr>
        <w:t>是，</w:t>
      </w:r>
      <w:r>
        <w:rPr>
          <w:rFonts w:hint="eastAsia" w:ascii="宋体" w:hAnsi="宋体"/>
          <w:color w:val="FF0000"/>
          <w:sz w:val="24"/>
          <w:szCs w:val="24"/>
          <w:highlight w:val="none"/>
        </w:rPr>
        <w:t>中标人在合同签</w:t>
      </w:r>
      <w:r>
        <w:rPr>
          <w:rFonts w:hint="eastAsia" w:ascii="宋体" w:hAnsi="宋体"/>
          <w:color w:val="0000FF"/>
          <w:sz w:val="24"/>
          <w:szCs w:val="24"/>
          <w:highlight w:val="none"/>
        </w:rPr>
        <w:t>订前</w:t>
      </w:r>
      <w:r>
        <w:rPr>
          <w:rFonts w:hint="eastAsia" w:ascii="宋体" w:hAnsi="宋体"/>
          <w:color w:val="0000FF"/>
          <w:sz w:val="24"/>
          <w:szCs w:val="24"/>
          <w:highlight w:val="none"/>
          <w:lang w:val="en-US" w:eastAsia="zh-CN"/>
        </w:rPr>
        <w:t>1</w:t>
      </w:r>
      <w:r>
        <w:rPr>
          <w:rFonts w:hint="eastAsia" w:ascii="宋体" w:hAnsi="宋体"/>
          <w:color w:val="0000FF"/>
          <w:sz w:val="24"/>
          <w:szCs w:val="24"/>
          <w:highlight w:val="none"/>
        </w:rPr>
        <w:t>日内须</w:t>
      </w:r>
      <w:r>
        <w:rPr>
          <w:rFonts w:hint="eastAsia" w:ascii="宋体" w:hAnsi="宋体"/>
          <w:color w:val="FF0000"/>
          <w:sz w:val="24"/>
          <w:szCs w:val="24"/>
          <w:highlight w:val="none"/>
        </w:rPr>
        <w:t>向</w:t>
      </w:r>
      <w:r>
        <w:rPr>
          <w:rFonts w:hint="eastAsia" w:ascii="宋体" w:hAnsi="宋体"/>
          <w:color w:val="FF0000"/>
          <w:sz w:val="24"/>
          <w:szCs w:val="24"/>
          <w:highlight w:val="none"/>
          <w:lang w:eastAsia="zh-CN"/>
        </w:rPr>
        <w:t>采购人</w:t>
      </w:r>
      <w:r>
        <w:rPr>
          <w:rFonts w:hint="eastAsia" w:ascii="宋体" w:hAnsi="宋体"/>
          <w:color w:val="FF0000"/>
          <w:sz w:val="24"/>
          <w:szCs w:val="24"/>
          <w:highlight w:val="none"/>
        </w:rPr>
        <w:t>提交合同总价</w:t>
      </w:r>
      <w:r>
        <w:rPr>
          <w:rFonts w:hint="eastAsia" w:ascii="宋体" w:hAnsi="宋体"/>
          <w:color w:val="FF0000"/>
          <w:sz w:val="24"/>
          <w:szCs w:val="24"/>
          <w:highlight w:val="none"/>
          <w:lang w:val="en-US" w:eastAsia="zh-CN"/>
        </w:rPr>
        <w:t>5</w:t>
      </w:r>
      <w:r>
        <w:rPr>
          <w:rFonts w:hint="eastAsia" w:ascii="宋体" w:hAnsi="宋体"/>
          <w:color w:val="FF0000"/>
          <w:sz w:val="24"/>
          <w:szCs w:val="24"/>
          <w:highlight w:val="none"/>
        </w:rPr>
        <w:t>%的履约保证金，履约保证金以现金汇入或对公转帐方式转入</w:t>
      </w:r>
      <w:r>
        <w:rPr>
          <w:rFonts w:hint="eastAsia" w:ascii="宋体" w:hAnsi="宋体"/>
          <w:color w:val="FF0000"/>
          <w:sz w:val="24"/>
          <w:szCs w:val="24"/>
          <w:highlight w:val="none"/>
          <w:lang w:eastAsia="zh-CN"/>
        </w:rPr>
        <w:t>采购人</w:t>
      </w:r>
      <w:r>
        <w:rPr>
          <w:rFonts w:hint="eastAsia" w:ascii="宋体" w:hAnsi="宋体"/>
          <w:color w:val="FF0000"/>
          <w:sz w:val="24"/>
          <w:szCs w:val="24"/>
          <w:highlight w:val="none"/>
        </w:rPr>
        <w:t>指定帐户。履约保证金在合同期满后10日内一次性无息退还。</w:t>
      </w:r>
      <w:r>
        <w:rPr>
          <w:rStyle w:val="20"/>
          <w:rFonts w:ascii="宋体" w:cs="宋体"/>
          <w:color w:val="auto"/>
          <w:sz w:val="24"/>
          <w:szCs w:val="24"/>
        </w:rPr>
        <w:br w:type="textWrapping"/>
      </w:r>
      <w:r>
        <w:rPr>
          <w:rStyle w:val="20"/>
          <w:rFonts w:ascii="宋体" w:hAnsi="宋体" w:cs="宋体"/>
          <w:color w:val="auto"/>
          <w:sz w:val="24"/>
          <w:szCs w:val="24"/>
        </w:rPr>
        <w:t>5</w:t>
      </w:r>
      <w:r>
        <w:rPr>
          <w:rStyle w:val="20"/>
          <w:rFonts w:hint="eastAsia" w:ascii="宋体" w:hAnsi="宋体" w:cs="宋体"/>
          <w:color w:val="auto"/>
          <w:sz w:val="24"/>
          <w:szCs w:val="24"/>
        </w:rPr>
        <w:t>、</w:t>
      </w:r>
      <w:r>
        <w:rPr>
          <w:rStyle w:val="20"/>
          <w:rFonts w:hint="eastAsia" w:ascii="宋体" w:hAnsi="宋体" w:cs="宋体"/>
          <w:color w:val="auto"/>
          <w:sz w:val="24"/>
          <w:szCs w:val="24"/>
          <w:highlight w:val="none"/>
        </w:rPr>
        <w:t>是否邀请投标人参与验收：否</w:t>
      </w:r>
      <w:r>
        <w:rPr>
          <w:rStyle w:val="20"/>
          <w:rFonts w:ascii="宋体" w:cs="宋体"/>
          <w:color w:val="auto"/>
          <w:sz w:val="24"/>
          <w:szCs w:val="24"/>
          <w:highlight w:val="none"/>
        </w:rPr>
        <w:br w:type="textWrapping"/>
      </w:r>
      <w:r>
        <w:rPr>
          <w:rStyle w:val="20"/>
          <w:rFonts w:ascii="宋体" w:hAnsi="宋体" w:cs="宋体"/>
          <w:color w:val="auto"/>
          <w:sz w:val="24"/>
          <w:szCs w:val="24"/>
          <w:highlight w:val="none"/>
        </w:rPr>
        <w:t>6</w:t>
      </w:r>
      <w:r>
        <w:rPr>
          <w:rStyle w:val="20"/>
          <w:rFonts w:hint="eastAsia" w:ascii="宋体" w:hAnsi="宋体" w:cs="宋体"/>
          <w:color w:val="auto"/>
          <w:sz w:val="24"/>
          <w:szCs w:val="24"/>
          <w:highlight w:val="none"/>
        </w:rPr>
        <w:t>、验收方式数据表格</w:t>
      </w:r>
    </w:p>
    <w:tbl>
      <w:tblPr>
        <w:tblStyle w:val="16"/>
        <w:tblW w:w="9310" w:type="dxa"/>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2"/>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blHeader/>
          <w:tblCellSpacing w:w="0" w:type="dxa"/>
        </w:trPr>
        <w:tc>
          <w:tcPr>
            <w:tcW w:w="1432"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color w:val="auto"/>
                <w:highlight w:val="none"/>
              </w:rPr>
            </w:pPr>
            <w:r>
              <w:rPr>
                <w:rFonts w:hint="eastAsia" w:ascii="宋体" w:hAnsi="宋体" w:cs="宋体"/>
                <w:color w:val="auto"/>
                <w:kern w:val="0"/>
                <w:sz w:val="24"/>
                <w:highlight w:val="none"/>
              </w:rPr>
              <w:t>验收期次</w:t>
            </w:r>
          </w:p>
        </w:tc>
        <w:tc>
          <w:tcPr>
            <w:tcW w:w="7878"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color w:val="auto"/>
                <w:highlight w:val="none"/>
              </w:rPr>
            </w:pPr>
            <w:r>
              <w:rPr>
                <w:rFonts w:hint="eastAsia" w:ascii="宋体" w:hAnsi="宋体" w:cs="宋体"/>
                <w:color w:val="auto"/>
                <w:kern w:val="0"/>
                <w:sz w:val="24"/>
                <w:highlight w:val="none"/>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blCellSpacing w:w="0" w:type="dxa"/>
        </w:trPr>
        <w:tc>
          <w:tcPr>
            <w:tcW w:w="1432"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auto"/>
                <w:highlight w:val="none"/>
              </w:rPr>
            </w:pPr>
            <w:r>
              <w:rPr>
                <w:rFonts w:ascii="宋体" w:hAnsi="宋体" w:cs="宋体"/>
                <w:color w:val="auto"/>
                <w:kern w:val="0"/>
                <w:sz w:val="24"/>
                <w:highlight w:val="none"/>
              </w:rPr>
              <w:t>1</w:t>
            </w:r>
          </w:p>
        </w:tc>
        <w:tc>
          <w:tcPr>
            <w:tcW w:w="7878"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color w:val="auto"/>
                <w:highlight w:val="none"/>
                <w:lang w:val="en-US"/>
              </w:rPr>
            </w:pPr>
            <w:r>
              <w:rPr>
                <w:rFonts w:ascii="宋体" w:hAnsi="宋体" w:eastAsia="宋体" w:cs="宋体"/>
                <w:color w:val="auto"/>
                <w:kern w:val="0"/>
                <w:sz w:val="24"/>
                <w:szCs w:val="24"/>
                <w:lang w:val="en-US" w:eastAsia="zh-CN" w:bidi="ar"/>
              </w:rPr>
              <w:t>1、采购人将根据招标文件要求、中标人所供货物的规格和产品标准及我国相关技术规范和技术标准进行验收。 2、结构、外观、制造、装配材料及工艺要求应符合采购要求及投标文件承诺，采购人在验收时如发现不符合招标采购要求的，采购人有权要求中标人进行换货或退货。</w:t>
            </w:r>
            <w:r>
              <w:rPr>
                <w:rFonts w:hint="eastAsia" w:ascii="宋体" w:hAnsi="宋体" w:cs="宋体"/>
                <w:color w:val="FF0000"/>
                <w:kern w:val="0"/>
                <w:sz w:val="24"/>
                <w:szCs w:val="24"/>
                <w:lang w:val="en-US" w:eastAsia="zh-CN" w:bidi="ar"/>
              </w:rPr>
              <w:t>3、</w:t>
            </w:r>
            <w:r>
              <w:rPr>
                <w:rFonts w:ascii="宋体" w:hAnsi="宋体" w:eastAsia="宋体" w:cs="宋体"/>
                <w:color w:val="FF0000"/>
                <w:kern w:val="0"/>
                <w:sz w:val="24"/>
                <w:szCs w:val="24"/>
                <w:lang w:val="en-US" w:eastAsia="zh-CN" w:bidi="ar"/>
              </w:rPr>
              <w:t>项目验收时中标人代表必须在场，采购人将组织</w:t>
            </w:r>
            <w:r>
              <w:rPr>
                <w:rFonts w:hint="eastAsia" w:ascii="宋体" w:hAnsi="宋体" w:cs="宋体"/>
                <w:color w:val="FF0000"/>
                <w:kern w:val="0"/>
                <w:sz w:val="24"/>
                <w:szCs w:val="24"/>
                <w:lang w:val="en-US" w:eastAsia="zh-CN" w:bidi="ar"/>
              </w:rPr>
              <w:t>验收小组</w:t>
            </w:r>
            <w:r>
              <w:rPr>
                <w:rFonts w:ascii="宋体" w:hAnsi="宋体" w:eastAsia="宋体" w:cs="宋体"/>
                <w:color w:val="FF0000"/>
                <w:kern w:val="0"/>
                <w:sz w:val="24"/>
                <w:szCs w:val="24"/>
                <w:lang w:val="en-US" w:eastAsia="zh-CN" w:bidi="ar"/>
              </w:rPr>
              <w:t>按招标文件要求与中标人应标标准进行验收。验收过程相关费用由中标人承担。</w:t>
            </w:r>
          </w:p>
        </w:tc>
      </w:tr>
    </w:tbl>
    <w:p>
      <w:pPr>
        <w:keepNext w:val="0"/>
        <w:keepLines w:val="0"/>
        <w:pageBreakBefore w:val="0"/>
        <w:widowControl/>
        <w:kinsoku/>
        <w:wordWrap/>
        <w:overflowPunct/>
        <w:topLinePunct w:val="0"/>
        <w:autoSpaceDE/>
        <w:autoSpaceDN/>
        <w:bidi w:val="0"/>
        <w:adjustRightInd/>
        <w:snapToGrid/>
        <w:spacing w:line="420" w:lineRule="exact"/>
        <w:jc w:val="left"/>
        <w:textAlignment w:val="auto"/>
        <w:rPr>
          <w:color w:val="auto"/>
          <w:highlight w:val="none"/>
        </w:rPr>
      </w:pPr>
      <w:r>
        <w:rPr>
          <w:rStyle w:val="20"/>
          <w:rFonts w:ascii="宋体" w:hAnsi="宋体" w:cs="宋体"/>
          <w:color w:val="auto"/>
          <w:kern w:val="0"/>
          <w:sz w:val="24"/>
          <w:highlight w:val="none"/>
        </w:rPr>
        <w:t>7</w:t>
      </w:r>
      <w:r>
        <w:rPr>
          <w:rStyle w:val="20"/>
          <w:rFonts w:hint="eastAsia" w:ascii="宋体" w:hAnsi="宋体" w:cs="宋体"/>
          <w:color w:val="auto"/>
          <w:kern w:val="0"/>
          <w:sz w:val="24"/>
          <w:highlight w:val="none"/>
        </w:rPr>
        <w:t>、支付方式数据表格</w:t>
      </w:r>
      <w:r>
        <w:rPr>
          <w:rStyle w:val="20"/>
          <w:rFonts w:ascii="宋体" w:hAnsi="宋体" w:cs="宋体"/>
          <w:color w:val="auto"/>
          <w:kern w:val="0"/>
          <w:sz w:val="24"/>
          <w:highlight w:val="none"/>
        </w:rPr>
        <w:t xml:space="preserve"> </w:t>
      </w:r>
    </w:p>
    <w:tbl>
      <w:tblPr>
        <w:tblStyle w:val="16"/>
        <w:tblW w:w="9273" w:type="dxa"/>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5"/>
        <w:gridCol w:w="1485"/>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blHeader/>
          <w:tblCellSpacing w:w="0" w:type="dxa"/>
        </w:trPr>
        <w:tc>
          <w:tcPr>
            <w:tcW w:w="1335"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auto"/>
                <w:kern w:val="0"/>
                <w:sz w:val="24"/>
              </w:rPr>
            </w:pPr>
            <w:r>
              <w:rPr>
                <w:rFonts w:hint="eastAsia" w:ascii="宋体" w:hAnsi="宋体" w:cs="宋体"/>
                <w:color w:val="auto"/>
                <w:kern w:val="0"/>
                <w:sz w:val="24"/>
              </w:rPr>
              <w:t>支付期次</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auto"/>
                <w:kern w:val="0"/>
                <w:sz w:val="24"/>
              </w:rPr>
            </w:pPr>
            <w:r>
              <w:rPr>
                <w:rFonts w:hint="eastAsia" w:ascii="宋体" w:hAnsi="宋体" w:cs="宋体"/>
                <w:color w:val="auto"/>
                <w:kern w:val="0"/>
                <w:sz w:val="24"/>
              </w:rPr>
              <w:t>支付比例(%)</w:t>
            </w:r>
          </w:p>
        </w:tc>
        <w:tc>
          <w:tcPr>
            <w:tcW w:w="6453" w:type="dxa"/>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color w:val="auto"/>
                <w:kern w:val="0"/>
                <w:sz w:val="24"/>
              </w:rPr>
            </w:pPr>
            <w:r>
              <w:rPr>
                <w:rFonts w:hint="eastAsia" w:ascii="宋体" w:hAnsi="宋体" w:cs="宋体"/>
                <w:color w:val="auto"/>
                <w:kern w:val="0"/>
                <w:sz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blCellSpacing w:w="0" w:type="dxa"/>
        </w:trPr>
        <w:tc>
          <w:tcPr>
            <w:tcW w:w="1335" w:type="dxa"/>
            <w:vAlign w:val="center"/>
          </w:tcPr>
          <w:p>
            <w:pPr>
              <w:widowControl/>
              <w:jc w:val="center"/>
              <w:rPr>
                <w:rFonts w:hint="eastAsia" w:ascii="宋体" w:hAnsi="宋体" w:cs="宋体"/>
                <w:color w:val="auto"/>
                <w:kern w:val="0"/>
                <w:sz w:val="24"/>
                <w:lang w:val="en-US" w:eastAsia="zh-CN"/>
              </w:rPr>
            </w:pPr>
            <w:r>
              <w:rPr>
                <w:rFonts w:ascii="宋体" w:hAnsi="宋体" w:cs="宋体"/>
                <w:kern w:val="0"/>
                <w:sz w:val="24"/>
              </w:rPr>
              <w:t>1</w:t>
            </w:r>
          </w:p>
        </w:tc>
        <w:tc>
          <w:tcPr>
            <w:tcW w:w="1485" w:type="dxa"/>
            <w:vAlign w:val="center"/>
          </w:tcPr>
          <w:p>
            <w:pPr>
              <w:widowControl/>
              <w:jc w:val="center"/>
              <w:rPr>
                <w:rFonts w:hint="eastAsia" w:ascii="宋体" w:hAnsi="宋体" w:eastAsia="宋体" w:cs="宋体"/>
                <w:color w:val="0000FF"/>
                <w:kern w:val="0"/>
                <w:sz w:val="24"/>
                <w:lang w:val="en-US" w:eastAsia="zh-CN"/>
              </w:rPr>
            </w:pPr>
            <w:r>
              <w:rPr>
                <w:rFonts w:ascii="宋体" w:hAnsi="宋体" w:cs="宋体"/>
                <w:color w:val="0000FF"/>
                <w:kern w:val="0"/>
                <w:sz w:val="24"/>
              </w:rPr>
              <w:t>9</w:t>
            </w:r>
            <w:r>
              <w:rPr>
                <w:rFonts w:hint="eastAsia" w:ascii="宋体" w:hAnsi="宋体" w:cs="宋体"/>
                <w:color w:val="0000FF"/>
                <w:kern w:val="0"/>
                <w:sz w:val="24"/>
                <w:lang w:val="en-US" w:eastAsia="zh-CN"/>
              </w:rPr>
              <w:t>7</w:t>
            </w:r>
          </w:p>
        </w:tc>
        <w:tc>
          <w:tcPr>
            <w:tcW w:w="6453"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FF"/>
                <w:kern w:val="0"/>
                <w:sz w:val="24"/>
                <w:szCs w:val="24"/>
                <w:lang w:val="en-US" w:eastAsia="zh-CN" w:bidi="ar"/>
              </w:rPr>
            </w:pPr>
            <w:r>
              <w:rPr>
                <w:rFonts w:ascii="宋体" w:hAnsi="宋体" w:eastAsia="宋体" w:cs="宋体"/>
                <w:color w:val="0000FF"/>
                <w:kern w:val="0"/>
                <w:sz w:val="24"/>
                <w:szCs w:val="24"/>
                <w:lang w:val="en-US" w:eastAsia="zh-CN" w:bidi="ar"/>
              </w:rPr>
              <w:t>本批采购货款分两期进行支付，采购人不接受需要支付预付款的投标报价。第一期支付为货到安装并验收合格后付款，采购人收到中标人开具</w:t>
            </w:r>
            <w:r>
              <w:rPr>
                <w:rFonts w:hint="eastAsia" w:ascii="宋体" w:hAnsi="宋体" w:cs="宋体"/>
                <w:color w:val="0000FF"/>
                <w:kern w:val="0"/>
                <w:sz w:val="24"/>
                <w:szCs w:val="24"/>
                <w:lang w:val="en-US" w:eastAsia="zh-CN" w:bidi="ar"/>
              </w:rPr>
              <w:t>对应金额</w:t>
            </w:r>
            <w:r>
              <w:rPr>
                <w:rFonts w:ascii="宋体" w:hAnsi="宋体" w:eastAsia="宋体" w:cs="宋体"/>
                <w:color w:val="0000FF"/>
                <w:kern w:val="0"/>
                <w:sz w:val="24"/>
                <w:szCs w:val="24"/>
                <w:lang w:val="en-US" w:eastAsia="zh-CN" w:bidi="ar"/>
              </w:rPr>
              <w:t>的</w:t>
            </w:r>
            <w:r>
              <w:rPr>
                <w:rFonts w:hint="eastAsia" w:ascii="宋体" w:hAnsi="宋体" w:cs="宋体"/>
                <w:color w:val="0000FF"/>
                <w:kern w:val="0"/>
                <w:sz w:val="24"/>
                <w:szCs w:val="24"/>
                <w:lang w:val="en-US" w:eastAsia="zh-CN" w:bidi="ar"/>
              </w:rPr>
              <w:t>增值税专用</w:t>
            </w:r>
            <w:r>
              <w:rPr>
                <w:rFonts w:ascii="宋体" w:hAnsi="宋体" w:eastAsia="宋体" w:cs="宋体"/>
                <w:color w:val="0000FF"/>
                <w:kern w:val="0"/>
                <w:sz w:val="24"/>
                <w:szCs w:val="24"/>
                <w:lang w:val="en-US" w:eastAsia="zh-CN" w:bidi="ar"/>
              </w:rPr>
              <w:t>发票后支付合同总货款的9</w:t>
            </w:r>
            <w:r>
              <w:rPr>
                <w:rFonts w:hint="eastAsia" w:ascii="宋体" w:hAnsi="宋体" w:cs="宋体"/>
                <w:color w:val="0000FF"/>
                <w:kern w:val="0"/>
                <w:sz w:val="24"/>
                <w:szCs w:val="24"/>
                <w:lang w:val="en-US" w:eastAsia="zh-CN" w:bidi="ar"/>
              </w:rPr>
              <w:t>7</w:t>
            </w:r>
            <w:r>
              <w:rPr>
                <w:rFonts w:ascii="宋体" w:hAnsi="宋体" w:eastAsia="宋体" w:cs="宋体"/>
                <w:color w:val="0000FF"/>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blCellSpacing w:w="0" w:type="dxa"/>
        </w:trPr>
        <w:tc>
          <w:tcPr>
            <w:tcW w:w="1335" w:type="dxa"/>
            <w:vAlign w:val="center"/>
          </w:tcPr>
          <w:p>
            <w:pPr>
              <w:widowControl/>
              <w:jc w:val="center"/>
              <w:rPr>
                <w:rFonts w:hint="default" w:ascii="宋体" w:hAnsi="宋体" w:cs="宋体"/>
                <w:color w:val="auto"/>
                <w:kern w:val="0"/>
                <w:sz w:val="24"/>
                <w:lang w:val="en-US" w:eastAsia="zh-CN"/>
              </w:rPr>
            </w:pPr>
            <w:r>
              <w:rPr>
                <w:rFonts w:ascii="宋体" w:hAnsi="宋体" w:cs="宋体"/>
                <w:kern w:val="0"/>
                <w:sz w:val="24"/>
              </w:rPr>
              <w:t>2</w:t>
            </w:r>
          </w:p>
        </w:tc>
        <w:tc>
          <w:tcPr>
            <w:tcW w:w="1485" w:type="dxa"/>
            <w:vAlign w:val="center"/>
          </w:tcPr>
          <w:p>
            <w:pPr>
              <w:widowControl/>
              <w:jc w:val="center"/>
              <w:rPr>
                <w:rFonts w:hint="eastAsia" w:ascii="宋体" w:hAnsi="宋体" w:eastAsia="宋体" w:cs="宋体"/>
                <w:color w:val="0000FF"/>
                <w:kern w:val="0"/>
                <w:sz w:val="24"/>
                <w:lang w:val="en-US" w:eastAsia="zh-CN"/>
              </w:rPr>
            </w:pPr>
            <w:r>
              <w:rPr>
                <w:rFonts w:hint="eastAsia" w:ascii="宋体" w:hAnsi="宋体" w:cs="宋体"/>
                <w:color w:val="0000FF"/>
                <w:kern w:val="0"/>
                <w:sz w:val="24"/>
                <w:lang w:val="en-US" w:eastAsia="zh-CN"/>
              </w:rPr>
              <w:t>3</w:t>
            </w:r>
          </w:p>
        </w:tc>
        <w:tc>
          <w:tcPr>
            <w:tcW w:w="6453"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FF"/>
                <w:kern w:val="0"/>
                <w:sz w:val="24"/>
                <w:szCs w:val="24"/>
                <w:lang w:val="en-US" w:eastAsia="zh-CN" w:bidi="ar"/>
              </w:rPr>
            </w:pPr>
            <w:r>
              <w:rPr>
                <w:rFonts w:ascii="宋体" w:hAnsi="宋体" w:eastAsia="宋体" w:cs="宋体"/>
                <w:color w:val="0000FF"/>
                <w:kern w:val="0"/>
                <w:sz w:val="24"/>
                <w:szCs w:val="24"/>
                <w:lang w:val="en-US" w:eastAsia="zh-CN" w:bidi="ar"/>
              </w:rPr>
              <w:t>第二期支付为质保期过后且无质量问题后给予一次性付清余下的</w:t>
            </w:r>
            <w:r>
              <w:rPr>
                <w:rFonts w:hint="eastAsia" w:ascii="宋体" w:hAnsi="宋体" w:cs="宋体"/>
                <w:color w:val="0000FF"/>
                <w:kern w:val="0"/>
                <w:sz w:val="24"/>
                <w:szCs w:val="24"/>
                <w:lang w:val="en-US" w:eastAsia="zh-CN" w:bidi="ar"/>
              </w:rPr>
              <w:t>3</w:t>
            </w:r>
            <w:r>
              <w:rPr>
                <w:rFonts w:ascii="宋体" w:hAnsi="宋体" w:eastAsia="宋体" w:cs="宋体"/>
                <w:color w:val="0000FF"/>
                <w:kern w:val="0"/>
                <w:sz w:val="24"/>
                <w:szCs w:val="24"/>
                <w:lang w:val="en-US" w:eastAsia="zh-CN" w:bidi="ar"/>
              </w:rPr>
              <w:t>%</w:t>
            </w:r>
            <w:r>
              <w:rPr>
                <w:rFonts w:hint="eastAsia" w:ascii="宋体" w:hAnsi="宋体" w:cs="宋体"/>
                <w:color w:val="0000FF"/>
                <w:kern w:val="0"/>
                <w:sz w:val="24"/>
                <w:szCs w:val="24"/>
                <w:lang w:val="en-US" w:eastAsia="zh-CN" w:bidi="ar"/>
              </w:rPr>
              <w:t>，中标人开具对应金额的增值税专用发票</w:t>
            </w:r>
            <w:r>
              <w:rPr>
                <w:rFonts w:ascii="宋体" w:hAnsi="宋体" w:eastAsia="宋体" w:cs="宋体"/>
                <w:color w:val="0000FF"/>
                <w:kern w:val="0"/>
                <w:sz w:val="24"/>
                <w:szCs w:val="24"/>
                <w:lang w:val="en-US" w:eastAsia="zh-CN" w:bidi="ar"/>
              </w:rPr>
              <w:t>。</w:t>
            </w:r>
          </w:p>
        </w:tc>
      </w:tr>
    </w:tbl>
    <w:p>
      <w:pPr>
        <w:widowControl/>
        <w:spacing w:line="440" w:lineRule="exact"/>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（一）与本批招标项目的相关要求</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本批招标应按合同包投标，投标人可以对一个或全部合同进行投标，但不得将合同包中的部分内容进行拆分投标或漏项投标，拆分投标或漏项投标无效。投标人必须列明所投项目的每一单项的单价、小计和总计。</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2.投标总价应为货物</w:t>
      </w:r>
      <w:r>
        <w:rPr>
          <w:rFonts w:hint="eastAsia" w:cs="宋体" w:asciiTheme="minorEastAsia" w:hAnsiTheme="minorEastAsia"/>
          <w:kern w:val="0"/>
          <w:sz w:val="24"/>
          <w:szCs w:val="24"/>
          <w:lang w:val="en-US" w:eastAsia="zh-CN"/>
        </w:rPr>
        <w:t>/服务</w:t>
      </w:r>
      <w:r>
        <w:rPr>
          <w:rFonts w:hint="eastAsia" w:cs="宋体" w:asciiTheme="minorEastAsia" w:hAnsiTheme="minorEastAsia"/>
          <w:kern w:val="0"/>
          <w:sz w:val="24"/>
          <w:szCs w:val="24"/>
        </w:rPr>
        <w:t>送达采购人指定地点、经采购人验收合格并交付使用及售后服 务等所有可能发生的费用，包括：备品备件价格、专用工具价格、技术服务费、安装调试费、税收、培训、验收等费用。</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3.投标人提供的产品的制造标准、安装标准及技术规范等必须符合相应的国家标准，行业标准及规范要求。</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4.投标</w:t>
      </w:r>
      <w:r>
        <w:rPr>
          <w:rFonts w:hint="eastAsia" w:cs="宋体" w:asciiTheme="minorEastAsia" w:hAnsiTheme="minorEastAsia"/>
          <w:kern w:val="0"/>
          <w:sz w:val="24"/>
          <w:szCs w:val="24"/>
          <w:lang w:eastAsia="zh-CN"/>
        </w:rPr>
        <w:t>产品</w:t>
      </w:r>
      <w:r>
        <w:rPr>
          <w:rFonts w:hint="eastAsia" w:cs="宋体" w:asciiTheme="minorEastAsia" w:hAnsiTheme="minorEastAsia"/>
          <w:kern w:val="0"/>
          <w:sz w:val="24"/>
          <w:szCs w:val="24"/>
        </w:rPr>
        <w:t>必须符合生产国、制造商、原品牌设备、原厂原包装的要求，技术指标应符合产品制造商公布的标准和我国国内相关标准。所有设备均须标明功能、使用说明、所含附件及其用途。</w:t>
      </w:r>
    </w:p>
    <w:p>
      <w:pPr>
        <w:widowControl/>
        <w:spacing w:line="440" w:lineRule="exact"/>
        <w:jc w:val="left"/>
        <w:rPr>
          <w:rFonts w:cs="宋体" w:asciiTheme="minorEastAsia" w:hAnsiTheme="minorEastAsia"/>
          <w:kern w:val="0"/>
          <w:sz w:val="24"/>
          <w:szCs w:val="24"/>
        </w:rPr>
      </w:pPr>
      <w:r>
        <w:rPr>
          <w:rFonts w:hint="eastAsia" w:cs="宋体" w:asciiTheme="minorEastAsia" w:hAnsiTheme="minorEastAsia"/>
          <w:b/>
          <w:bCs/>
          <w:kern w:val="0"/>
          <w:sz w:val="24"/>
          <w:szCs w:val="24"/>
        </w:rPr>
        <w:t>（二）售后服务</w:t>
      </w:r>
    </w:p>
    <w:p>
      <w:pPr>
        <w:widowControl/>
        <w:spacing w:line="440" w:lineRule="exact"/>
        <w:ind w:firstLine="480" w:firstLineChars="200"/>
        <w:jc w:val="left"/>
      </w:pPr>
      <w:r>
        <w:rPr>
          <w:rFonts w:hint="eastAsia" w:cs="宋体" w:asciiTheme="minorEastAsia" w:hAnsiTheme="minorEastAsia"/>
          <w:kern w:val="0"/>
          <w:sz w:val="24"/>
          <w:szCs w:val="24"/>
        </w:rPr>
        <w:t>1</w:t>
      </w:r>
      <w:r>
        <w:rPr>
          <w:rFonts w:hint="eastAsia" w:cs="宋体" w:asciiTheme="minorEastAsia" w:hAnsiTheme="minorEastAsia"/>
          <w:kern w:val="0"/>
          <w:sz w:val="24"/>
          <w:szCs w:val="24"/>
          <w:lang w:eastAsia="zh-CN"/>
        </w:rPr>
        <w:t>.</w:t>
      </w:r>
      <w:r>
        <w:rPr>
          <w:rFonts w:hint="eastAsia" w:cs="宋体" w:asciiTheme="minorEastAsia" w:hAnsiTheme="minorEastAsia"/>
          <w:b/>
          <w:bCs/>
          <w:color w:val="FF0000"/>
          <w:kern w:val="0"/>
          <w:sz w:val="24"/>
          <w:szCs w:val="24"/>
        </w:rPr>
        <w:t>所有项目要求在竣工验收合格之日起免费维保</w:t>
      </w:r>
      <w:r>
        <w:rPr>
          <w:rFonts w:hint="eastAsia" w:cs="宋体" w:asciiTheme="minorEastAsia" w:hAnsiTheme="minorEastAsia"/>
          <w:b/>
          <w:bCs/>
          <w:color w:val="FF0000"/>
          <w:kern w:val="0"/>
          <w:sz w:val="24"/>
          <w:szCs w:val="24"/>
          <w:lang w:eastAsia="zh-CN"/>
        </w:rPr>
        <w:t>以</w:t>
      </w:r>
      <w:r>
        <w:rPr>
          <w:rFonts w:hint="eastAsia" w:cs="宋体" w:asciiTheme="minorEastAsia" w:hAnsiTheme="minorEastAsia"/>
          <w:b/>
          <w:bCs/>
          <w:color w:val="FF0000"/>
          <w:kern w:val="0"/>
          <w:sz w:val="24"/>
          <w:szCs w:val="24"/>
        </w:rPr>
        <w:t>招标详细要求中要求的</w:t>
      </w:r>
      <w:r>
        <w:rPr>
          <w:rFonts w:hint="eastAsia" w:cs="宋体" w:asciiTheme="minorEastAsia" w:hAnsiTheme="minorEastAsia"/>
          <w:b/>
          <w:bCs/>
          <w:color w:val="FF0000"/>
          <w:kern w:val="0"/>
          <w:sz w:val="24"/>
          <w:szCs w:val="24"/>
          <w:lang w:eastAsia="zh-CN"/>
        </w:rPr>
        <w:t>为准</w:t>
      </w:r>
      <w:r>
        <w:rPr>
          <w:rFonts w:hint="eastAsia" w:cs="宋体" w:asciiTheme="minorEastAsia" w:hAnsiTheme="minorEastAsia"/>
          <w:kern w:val="0"/>
          <w:sz w:val="24"/>
          <w:szCs w:val="24"/>
          <w:highlight w:val="none"/>
        </w:rPr>
        <w:t>，在质保期内出现故障，中标人应免费提供咨询和维修服务。</w:t>
      </w:r>
      <w:r>
        <w:rPr>
          <w:rFonts w:hint="eastAsia" w:ascii="宋体" w:hAnsi="宋体" w:eastAsia="宋体" w:cs="宋体"/>
          <w:spacing w:val="0"/>
          <w:sz w:val="24"/>
          <w:szCs w:val="24"/>
        </w:rPr>
        <w:t>保修期内，须按合同条款提供免费服务，非因操作不当造成要更换的零配件及货物由中标人负责包修、包换。</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2.中标人应根据采购人指定的地点免费提供所有货物的送货、安装服务。</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3.质保期后，中标人应提供或指定维护机构对货物进行定期维护和修理，能在</w:t>
      </w:r>
      <w:r>
        <w:rPr>
          <w:rFonts w:hint="eastAsia" w:eastAsia="宋体" w:cs="宋体"/>
          <w:spacing w:val="0"/>
          <w:sz w:val="24"/>
          <w:szCs w:val="24"/>
          <w:lang w:eastAsia="zh-CN"/>
        </w:rPr>
        <w:t>采购人</w:t>
      </w:r>
      <w:r>
        <w:rPr>
          <w:rFonts w:hint="eastAsia" w:ascii="宋体" w:hAnsi="宋体" w:eastAsia="宋体" w:cs="宋体"/>
          <w:spacing w:val="0"/>
          <w:sz w:val="24"/>
          <w:szCs w:val="24"/>
        </w:rPr>
        <w:t>提出问题后2小时内给予答复，并在一日内派人到现场进行</w:t>
      </w:r>
      <w:r>
        <w:rPr>
          <w:rFonts w:hint="eastAsia" w:ascii="宋体" w:hAnsi="宋体" w:cs="宋体"/>
          <w:spacing w:val="0"/>
          <w:sz w:val="24"/>
          <w:szCs w:val="24"/>
          <w:lang w:eastAsia="zh-CN"/>
        </w:rPr>
        <w:t>设备</w:t>
      </w:r>
      <w:r>
        <w:rPr>
          <w:rFonts w:hint="eastAsia" w:ascii="宋体" w:hAnsi="宋体" w:eastAsia="宋体" w:cs="宋体"/>
          <w:spacing w:val="0"/>
          <w:sz w:val="24"/>
          <w:szCs w:val="24"/>
        </w:rPr>
        <w:t>故障的维修。</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4.验收不合格的货物，采购人可以要求中标人无条件免费更换或退货，并赔偿由此造成用户的损失。</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5.在质量保证期内所有货物运行发生故障时中标人在接到</w:t>
      </w:r>
      <w:r>
        <w:rPr>
          <w:rFonts w:hint="eastAsia" w:eastAsia="宋体" w:cs="宋体"/>
          <w:spacing w:val="0"/>
          <w:sz w:val="24"/>
          <w:szCs w:val="24"/>
          <w:lang w:eastAsia="zh-CN"/>
        </w:rPr>
        <w:t>采购人</w:t>
      </w:r>
      <w:r>
        <w:rPr>
          <w:rFonts w:hint="eastAsia" w:ascii="宋体" w:hAnsi="宋体" w:eastAsia="宋体" w:cs="宋体"/>
          <w:spacing w:val="0"/>
          <w:sz w:val="24"/>
          <w:szCs w:val="24"/>
        </w:rPr>
        <w:t>故障电话通知后1小时电话响应</w:t>
      </w:r>
      <w:r>
        <w:rPr>
          <w:rFonts w:hint="eastAsia" w:ascii="宋体" w:hAnsi="宋体" w:eastAsia="宋体" w:cs="宋体"/>
          <w:color w:val="0000FF"/>
          <w:spacing w:val="0"/>
          <w:sz w:val="24"/>
          <w:szCs w:val="24"/>
        </w:rPr>
        <w:t>，</w:t>
      </w:r>
      <w:r>
        <w:rPr>
          <w:rFonts w:hint="eastAsia" w:ascii="宋体" w:hAnsi="宋体" w:cs="宋体"/>
          <w:color w:val="0000FF"/>
          <w:spacing w:val="0"/>
          <w:sz w:val="24"/>
          <w:szCs w:val="24"/>
          <w:lang w:val="en-US" w:eastAsia="zh-CN"/>
        </w:rPr>
        <w:t>6</w:t>
      </w:r>
      <w:r>
        <w:rPr>
          <w:rFonts w:hint="eastAsia" w:ascii="宋体" w:hAnsi="宋体" w:eastAsia="宋体" w:cs="宋体"/>
          <w:color w:val="0000FF"/>
          <w:spacing w:val="0"/>
          <w:sz w:val="24"/>
          <w:szCs w:val="24"/>
        </w:rPr>
        <w:t>小时内</w:t>
      </w:r>
      <w:r>
        <w:rPr>
          <w:rFonts w:hint="eastAsia" w:ascii="宋体" w:hAnsi="宋体" w:eastAsia="宋体" w:cs="宋体"/>
          <w:spacing w:val="0"/>
          <w:sz w:val="24"/>
          <w:szCs w:val="24"/>
        </w:rPr>
        <w:t>到达故障现场进行免费维修。如属硬件故障原因而且12小时无法排除故障的，应提供同等配置的备用货物以保证</w:t>
      </w:r>
      <w:r>
        <w:rPr>
          <w:rFonts w:hint="eastAsia" w:eastAsia="宋体" w:cs="宋体"/>
          <w:spacing w:val="0"/>
          <w:sz w:val="24"/>
          <w:szCs w:val="24"/>
          <w:lang w:eastAsia="zh-CN"/>
        </w:rPr>
        <w:t>采购人</w:t>
      </w:r>
      <w:r>
        <w:rPr>
          <w:rFonts w:hint="eastAsia" w:ascii="宋体" w:hAnsi="宋体" w:eastAsia="宋体" w:cs="宋体"/>
          <w:spacing w:val="0"/>
          <w:sz w:val="24"/>
          <w:szCs w:val="24"/>
        </w:rPr>
        <w:t>货物的正常运行。</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6.设备供应商应提供设备保修期内的软件免费升级服务，并承诺在保修期结束后可根据</w:t>
      </w:r>
      <w:r>
        <w:rPr>
          <w:rFonts w:hint="eastAsia" w:eastAsia="宋体" w:cs="宋体"/>
          <w:spacing w:val="0"/>
          <w:sz w:val="24"/>
          <w:szCs w:val="24"/>
          <w:lang w:eastAsia="zh-CN"/>
        </w:rPr>
        <w:t>采购人</w:t>
      </w:r>
      <w:r>
        <w:rPr>
          <w:rFonts w:hint="eastAsia" w:ascii="宋体" w:hAnsi="宋体" w:eastAsia="宋体" w:cs="宋体"/>
          <w:spacing w:val="0"/>
          <w:sz w:val="24"/>
          <w:szCs w:val="24"/>
        </w:rPr>
        <w:t>要求对现有信号控制平台进行有偿的升级服务。</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7.质保期后，中标人仍应负责提供终身维修服务，更换配件时只能收取配件的成本费。</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8.中标人应随机免费提供相关技术资料，如维护手册、操作手册、硬件技术资料等，中标人应为采购人的使用人员进行有关货物的维护、操作、保养等方面培训，直至能熟练独立操作。</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9.投标人可视自身能力在投标文件中提供更优、更合理的售后服务承诺。</w:t>
      </w:r>
    </w:p>
    <w:p>
      <w:pPr>
        <w:pStyle w:val="15"/>
        <w:keepNext w:val="0"/>
        <w:keepLines w:val="0"/>
        <w:widowControl/>
        <w:suppressLineNumbers w:val="0"/>
        <w:spacing w:before="0" w:beforeAutospacing="0" w:after="0" w:afterAutospacing="0" w:line="465" w:lineRule="atLeast"/>
        <w:ind w:left="0" w:right="0" w:firstLine="480" w:firstLineChars="200"/>
      </w:pPr>
      <w:r>
        <w:rPr>
          <w:rFonts w:hint="eastAsia" w:ascii="宋体" w:hAnsi="宋体" w:eastAsia="宋体" w:cs="宋体"/>
          <w:spacing w:val="0"/>
          <w:sz w:val="24"/>
          <w:szCs w:val="24"/>
        </w:rPr>
        <w:t>10.投标人应针对本次投标提供详细的售后服务方案及承诺。</w:t>
      </w:r>
    </w:p>
    <w:p>
      <w:pPr>
        <w:widowControl/>
        <w:spacing w:line="440" w:lineRule="exact"/>
        <w:jc w:val="left"/>
        <w:rPr>
          <w:rFonts w:cs="宋体" w:asciiTheme="minorEastAsia" w:hAnsiTheme="minorEastAsia"/>
          <w:b/>
          <w:bCs/>
          <w:kern w:val="0"/>
          <w:sz w:val="24"/>
          <w:szCs w:val="24"/>
          <w:highlight w:val="none"/>
        </w:rPr>
      </w:pPr>
      <w:r>
        <w:rPr>
          <w:rFonts w:hint="eastAsia" w:cs="宋体" w:asciiTheme="minorEastAsia" w:hAnsiTheme="minorEastAsia"/>
          <w:b/>
          <w:bCs/>
          <w:kern w:val="0"/>
          <w:sz w:val="24"/>
          <w:szCs w:val="24"/>
          <w:highlight w:val="none"/>
        </w:rPr>
        <w:t>（三）违约责任</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中标人所交的产品不符合合同规定，</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有权拒收并解除合同，中标人应向</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偿还预付款及合同价款30%的违约金。</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中标人未能按期完工的，每逾期一天，按合同价款的1‰向</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支付违约金。若中标人逾期完工超过30个日历日，</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有权解除合同，中标人应向</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支付合同总价30%的违约金。由于不可抗力的因素、</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变更合同要求造成施工延误的，按照实际误工情况而相应延长完工期，不作为违约。</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中标人逾期提交验收申请和完整的验收材料，每逾期一天，中标人按合同价款的1‰向</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支付违约金。逾期超过30个日历日，</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有权解除合同，中标人应向</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支付合同总价30%的违约金。</w:t>
      </w:r>
      <w:r>
        <w:rPr>
          <w:rFonts w:hint="eastAsia" w:cs="宋体" w:asciiTheme="minorEastAsia" w:hAnsiTheme="minorEastAsia"/>
          <w:kern w:val="0"/>
          <w:sz w:val="24"/>
          <w:szCs w:val="24"/>
          <w:lang w:eastAsia="zh-CN"/>
        </w:rPr>
        <w:t>中标人</w:t>
      </w:r>
      <w:r>
        <w:rPr>
          <w:rFonts w:hint="eastAsia" w:cs="宋体" w:asciiTheme="minorEastAsia" w:hAnsiTheme="minorEastAsia"/>
          <w:kern w:val="0"/>
          <w:sz w:val="24"/>
          <w:szCs w:val="24"/>
        </w:rPr>
        <w:t>提交验收申请和完整的验收材料（经</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确认）之日起，</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在30个日历日内未组织进行验收或验收后15个日历日内未出具验收结论，则自动认为验收申请报告已被确认。</w:t>
      </w:r>
    </w:p>
    <w:p>
      <w:pPr>
        <w:widowControl/>
        <w:spacing w:line="44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项目完工后，若验收不符合招标文件或合同规定的，中标人应在接到</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书面整改通知书后30个日历日内积极补救整改并再次提交验收申请。再次验收仍不合格的或在30个日历日内无法整改完毕并再次提交验收申请的，</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有权解除合同，中标人应向</w:t>
      </w:r>
      <w:r>
        <w:rPr>
          <w:rFonts w:hint="eastAsia" w:cs="宋体" w:asciiTheme="minorEastAsia" w:hAnsiTheme="minorEastAsia"/>
          <w:kern w:val="0"/>
          <w:sz w:val="24"/>
          <w:szCs w:val="24"/>
          <w:lang w:eastAsia="zh-CN"/>
        </w:rPr>
        <w:t>采购人</w:t>
      </w:r>
      <w:r>
        <w:rPr>
          <w:rFonts w:hint="eastAsia" w:cs="宋体" w:asciiTheme="minorEastAsia" w:hAnsiTheme="minorEastAsia"/>
          <w:kern w:val="0"/>
          <w:sz w:val="24"/>
          <w:szCs w:val="24"/>
        </w:rPr>
        <w:t>支付合同总价款30%的违约金。</w:t>
      </w:r>
    </w:p>
    <w:p>
      <w:pPr>
        <w:keepNext w:val="0"/>
        <w:keepLines w:val="0"/>
        <w:pageBreakBefore w:val="0"/>
        <w:kinsoku/>
        <w:wordWrap/>
        <w:overflowPunct/>
        <w:topLinePunct w:val="0"/>
        <w:autoSpaceDE/>
        <w:autoSpaceDN/>
        <w:bidi w:val="0"/>
        <w:adjustRightInd/>
        <w:snapToGrid/>
        <w:spacing w:line="420" w:lineRule="exact"/>
        <w:textAlignment w:val="auto"/>
        <w:rPr>
          <w:rFonts w:ascii="宋体" w:cs="宋体"/>
          <w:b/>
          <w:color w:val="auto"/>
          <w:sz w:val="24"/>
        </w:rPr>
      </w:pPr>
      <w:r>
        <w:rPr>
          <w:rFonts w:hint="eastAsia" w:ascii="宋体" w:hAnsi="宋体" w:cs="宋体"/>
          <w:b/>
          <w:color w:val="auto"/>
          <w:sz w:val="24"/>
          <w:lang w:eastAsia="zh-CN"/>
        </w:rPr>
        <w:t>（四）</w:t>
      </w:r>
      <w:r>
        <w:rPr>
          <w:rFonts w:hint="eastAsia" w:ascii="宋体" w:hAnsi="宋体" w:cs="宋体"/>
          <w:b/>
          <w:color w:val="auto"/>
          <w:sz w:val="24"/>
        </w:rPr>
        <w:t>专利说明</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投标人提供的货物必须具有自主知识产权，获得合同的投标人应保证莆田市信成造价咨询有限公司和用户不受到第三方关于侵犯专利权的指控，任何第三方如果提出指控，获得合同的的投标人应与第三方交涉，承担可能发生的一切法律责任、费用和后果，并赔偿莆田市信成造价咨询有限公司和用户的损失。</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cs="宋体"/>
          <w:color w:val="auto"/>
          <w:sz w:val="24"/>
        </w:rPr>
      </w:pPr>
      <w:r>
        <w:rPr>
          <w:rFonts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投标人不得以任何形式向与本项目无关的其他单位或人员提供招标文件及所附的有关资料，如违反，必须赔偿莆田市信成造价咨询有限公司和用户的所有损失，且莆田市信成造价咨询有限公司和用户保留追究法律责任的权力。</w:t>
      </w:r>
    </w:p>
    <w:p>
      <w:pPr>
        <w:pStyle w:val="15"/>
        <w:keepNext w:val="0"/>
        <w:keepLines w:val="0"/>
        <w:widowControl/>
        <w:suppressLineNumbers w:val="0"/>
        <w:spacing w:before="75" w:beforeAutospacing="0" w:after="75" w:afterAutospacing="0"/>
        <w:ind w:left="0" w:right="0" w:firstLine="0"/>
        <w:jc w:val="center"/>
        <w:rPr>
          <w:rFonts w:ascii="宋体" w:hAnsi="宋体" w:cs="宋体"/>
          <w:b/>
          <w:color w:val="auto"/>
          <w:sz w:val="32"/>
          <w:szCs w:val="32"/>
        </w:rPr>
      </w:pPr>
      <w:r>
        <w:rPr>
          <w:rFonts w:ascii="宋体" w:hAnsi="宋体" w:cs="宋体"/>
          <w:b/>
          <w:color w:val="auto"/>
          <w:sz w:val="32"/>
          <w:szCs w:val="32"/>
        </w:rPr>
        <w:t xml:space="preserve"> </w:t>
      </w:r>
    </w:p>
    <w:p>
      <w:pPr>
        <w:pStyle w:val="15"/>
        <w:keepNext w:val="0"/>
        <w:keepLines w:val="0"/>
        <w:widowControl/>
        <w:suppressLineNumbers w:val="0"/>
        <w:spacing w:before="75" w:beforeAutospacing="0" w:after="75" w:afterAutospacing="0"/>
        <w:ind w:left="0" w:right="0" w:firstLine="0"/>
        <w:jc w:val="center"/>
        <w:rPr>
          <w:color w:val="auto"/>
        </w:rPr>
      </w:pPr>
      <w:r>
        <w:rPr>
          <w:rFonts w:ascii="宋体" w:hAnsi="宋体" w:cs="宋体"/>
          <w:b/>
          <w:color w:val="auto"/>
          <w:sz w:val="32"/>
          <w:szCs w:val="32"/>
        </w:rPr>
        <w:t xml:space="preserve"> </w:t>
      </w:r>
      <w:r>
        <w:rPr>
          <w:rFonts w:hint="eastAsia" w:ascii="宋体" w:hAnsi="宋体" w:cs="宋体"/>
          <w:b/>
          <w:color w:val="auto"/>
          <w:sz w:val="32"/>
          <w:szCs w:val="32"/>
          <w:lang w:eastAsia="zh-CN"/>
        </w:rPr>
        <w:t>第六章</w:t>
      </w:r>
      <w:r>
        <w:rPr>
          <w:rFonts w:hint="eastAsia" w:ascii="宋体" w:hAnsi="宋体" w:cs="宋体"/>
          <w:b/>
          <w:color w:val="auto"/>
          <w:sz w:val="32"/>
          <w:szCs w:val="32"/>
          <w:lang w:val="en-US" w:eastAsia="zh-CN"/>
        </w:rPr>
        <w:t xml:space="preserve">   </w:t>
      </w:r>
      <w:r>
        <w:rPr>
          <w:rStyle w:val="20"/>
          <w:rFonts w:hint="eastAsia" w:ascii="宋体" w:hAnsi="宋体" w:eastAsia="宋体" w:cs="宋体"/>
          <w:color w:val="auto"/>
          <w:spacing w:val="0"/>
          <w:sz w:val="31"/>
          <w:szCs w:val="31"/>
        </w:rPr>
        <w:t>采购合同（参考文本）</w:t>
      </w:r>
    </w:p>
    <w:p>
      <w:pPr>
        <w:spacing w:line="400" w:lineRule="exact"/>
        <w:ind w:left="315"/>
        <w:rPr>
          <w:rFonts w:hint="eastAsia" w:ascii="宋体" w:hAnsi="宋体"/>
          <w:sz w:val="24"/>
          <w:szCs w:val="20"/>
        </w:rPr>
      </w:pPr>
      <w:r>
        <w:rPr>
          <w:rFonts w:hint="eastAsia" w:ascii="宋体" w:hAnsi="宋体" w:eastAsia="宋体" w:cs="宋体"/>
          <w:color w:val="auto"/>
          <w:spacing w:val="0"/>
          <w:sz w:val="24"/>
          <w:szCs w:val="24"/>
        </w:rPr>
        <w:t> </w:t>
      </w:r>
      <w:r>
        <w:rPr>
          <w:rFonts w:hint="eastAsia" w:ascii="宋体" w:hAnsi="宋体"/>
          <w:sz w:val="24"/>
          <w:szCs w:val="20"/>
        </w:rPr>
        <w:t xml:space="preserve">  合同号：</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甲方（</w:t>
      </w:r>
      <w:r>
        <w:rPr>
          <w:rFonts w:hint="eastAsia" w:ascii="宋体" w:hAnsi="宋体"/>
          <w:sz w:val="24"/>
          <w:szCs w:val="20"/>
          <w:lang w:eastAsia="zh-CN"/>
        </w:rPr>
        <w:t>采购人</w:t>
      </w:r>
      <w:r>
        <w:rPr>
          <w:rFonts w:hint="eastAsia" w:ascii="宋体" w:hAnsi="宋体"/>
          <w:sz w:val="24"/>
          <w:szCs w:val="20"/>
        </w:rPr>
        <w:t>）：                               签定地点：</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 xml:space="preserve">乙方（中标人）：                               签定日期：   年   月   日   </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 xml:space="preserve">     根据甲方申请并经</w:t>
      </w:r>
      <w:r>
        <w:rPr>
          <w:rFonts w:hint="eastAsia" w:ascii="宋体" w:hAnsi="宋体"/>
          <w:color w:val="auto"/>
          <w:sz w:val="24"/>
          <w:szCs w:val="20"/>
        </w:rPr>
        <w:t>主管部门核</w:t>
      </w:r>
      <w:r>
        <w:rPr>
          <w:rFonts w:hint="eastAsia" w:ascii="宋体" w:hAnsi="宋体"/>
          <w:color w:val="auto"/>
          <w:sz w:val="24"/>
          <w:szCs w:val="20"/>
          <w:lang w:eastAsia="zh-CN"/>
        </w:rPr>
        <w:t>准</w:t>
      </w:r>
      <w:r>
        <w:rPr>
          <w:rFonts w:hint="eastAsia" w:ascii="宋体" w:hAnsi="宋体"/>
          <w:color w:val="auto"/>
          <w:sz w:val="24"/>
          <w:szCs w:val="20"/>
        </w:rPr>
        <w:t>的政府</w:t>
      </w:r>
      <w:r>
        <w:rPr>
          <w:rFonts w:hint="eastAsia" w:ascii="宋体" w:hAnsi="宋体"/>
          <w:sz w:val="24"/>
          <w:szCs w:val="20"/>
        </w:rPr>
        <w:t>采购计划</w:t>
      </w:r>
      <w:r>
        <w:rPr>
          <w:rFonts w:hint="eastAsia" w:ascii="宋体" w:hAnsi="宋体"/>
          <w:sz w:val="23"/>
          <w:szCs w:val="20"/>
        </w:rPr>
        <w:t>，甲方</w:t>
      </w:r>
      <w:r>
        <w:rPr>
          <w:rFonts w:hint="eastAsia" w:ascii="宋体" w:hAnsi="宋体"/>
          <w:sz w:val="24"/>
          <w:szCs w:val="20"/>
        </w:rPr>
        <w:t>委托（</w:t>
      </w:r>
      <w:r>
        <w:rPr>
          <w:rFonts w:hint="eastAsia" w:ascii="宋体" w:hAnsi="宋体"/>
          <w:sz w:val="24"/>
          <w:szCs w:val="20"/>
          <w:u w:val="single"/>
        </w:rPr>
        <w:t>招标代理机构</w:t>
      </w:r>
      <w:r>
        <w:rPr>
          <w:rFonts w:hint="eastAsia" w:ascii="宋体" w:hAnsi="宋体"/>
          <w:sz w:val="24"/>
          <w:szCs w:val="20"/>
        </w:rPr>
        <w:t>）对</w:t>
      </w:r>
      <w:r>
        <w:rPr>
          <w:rFonts w:hint="eastAsia" w:ascii="宋体" w:hAnsi="宋体"/>
          <w:sz w:val="24"/>
          <w:szCs w:val="20"/>
          <w:u w:val="single"/>
        </w:rPr>
        <w:t xml:space="preserve">             </w:t>
      </w:r>
      <w:r>
        <w:rPr>
          <w:rFonts w:hint="eastAsia" w:ascii="宋体" w:hAnsi="宋体"/>
          <w:sz w:val="24"/>
          <w:szCs w:val="20"/>
        </w:rPr>
        <w:t>进行招标采购（项目编号：</w:t>
      </w:r>
      <w:r>
        <w:rPr>
          <w:rFonts w:hint="eastAsia" w:ascii="宋体" w:hAnsi="宋体"/>
          <w:sz w:val="24"/>
          <w:szCs w:val="20"/>
          <w:u w:val="single"/>
        </w:rPr>
        <w:t xml:space="preserve">           </w:t>
      </w:r>
      <w:r>
        <w:rPr>
          <w:rFonts w:hint="eastAsia" w:ascii="宋体" w:hAnsi="宋体"/>
          <w:sz w:val="24"/>
          <w:szCs w:val="20"/>
        </w:rPr>
        <w:t>）的招标结果，乙方为中标人，现依照招标文件、投标文件及相关文件的内容，双方达成如下协议：</w:t>
      </w:r>
    </w:p>
    <w:p>
      <w:pPr>
        <w:keepNext w:val="0"/>
        <w:keepLines w:val="0"/>
        <w:pageBreakBefore w:val="0"/>
        <w:widowControl w:val="0"/>
        <w:numPr>
          <w:ilvl w:val="0"/>
          <w:numId w:val="8"/>
        </w:numPr>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合同标的和合同价格</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1260"/>
        <w:gridCol w:w="1260"/>
        <w:gridCol w:w="1381"/>
        <w:gridCol w:w="959"/>
        <w:gridCol w:w="720"/>
        <w:gridCol w:w="1080"/>
        <w:gridCol w:w="1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1188"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产品名称</w:t>
            </w: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规格型号</w:t>
            </w: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生产厂家</w:t>
            </w:r>
          </w:p>
        </w:tc>
        <w:tc>
          <w:tcPr>
            <w:tcW w:w="1381"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数量单价</w:t>
            </w:r>
          </w:p>
        </w:tc>
        <w:tc>
          <w:tcPr>
            <w:tcW w:w="959"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数量</w:t>
            </w:r>
          </w:p>
        </w:tc>
        <w:tc>
          <w:tcPr>
            <w:tcW w:w="72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单价</w:t>
            </w: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总价</w:t>
            </w: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交货期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188"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381"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959"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72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188"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381"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959"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72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1188"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381"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959"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72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1188"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26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381"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959"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72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c>
          <w:tcPr>
            <w:tcW w:w="1080" w:type="dxa"/>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trPr>
        <w:tc>
          <w:tcPr>
            <w:tcW w:w="8928" w:type="dxa"/>
            <w:gridSpan w:val="8"/>
            <w:noWrap w:val="0"/>
            <w:vAlign w:val="center"/>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szCs w:val="20"/>
              </w:rPr>
            </w:pPr>
            <w:r>
              <w:rPr>
                <w:rFonts w:hint="eastAsia" w:ascii="宋体" w:hAnsi="宋体"/>
                <w:szCs w:val="20"/>
              </w:rPr>
              <w:t>合同总金额（大写）（合同总金额包含备件、专用工具、安装、调试、检验、技术培</w:t>
            </w:r>
          </w:p>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szCs w:val="20"/>
              </w:rPr>
            </w:pPr>
            <w:r>
              <w:rPr>
                <w:rFonts w:hint="eastAsia" w:ascii="宋体" w:hAnsi="宋体"/>
                <w:szCs w:val="20"/>
              </w:rPr>
              <w:t>训及技术资料和运输保险等费用）：人民币</w:t>
            </w:r>
            <w:r>
              <w:rPr>
                <w:rFonts w:hint="eastAsia" w:ascii="宋体" w:hAnsi="宋体"/>
                <w:szCs w:val="20"/>
                <w:u w:val="single"/>
              </w:rPr>
              <w:t xml:space="preserve">                         </w:t>
            </w:r>
            <w:r>
              <w:rPr>
                <w:rFonts w:hint="eastAsia" w:ascii="宋体" w:hAnsi="宋体"/>
                <w:szCs w:val="20"/>
              </w:rPr>
              <w:t>（￥：</w:t>
            </w:r>
            <w:r>
              <w:rPr>
                <w:rFonts w:hint="eastAsia" w:ascii="宋体" w:hAnsi="宋体"/>
                <w:szCs w:val="20"/>
                <w:u w:val="single"/>
              </w:rPr>
              <w:t xml:space="preserve">             </w:t>
            </w:r>
            <w:r>
              <w:rPr>
                <w:rFonts w:hint="eastAsia" w:ascii="宋体" w:hAnsi="宋体"/>
                <w:szCs w:val="20"/>
              </w:rPr>
              <w:t>）</w:t>
            </w:r>
          </w:p>
        </w:tc>
      </w:tr>
    </w:tbl>
    <w:p>
      <w:pPr>
        <w:keepNext w:val="0"/>
        <w:keepLines w:val="0"/>
        <w:pageBreakBefore w:val="0"/>
        <w:widowControl w:val="0"/>
        <w:numPr>
          <w:ilvl w:val="0"/>
          <w:numId w:val="8"/>
        </w:numPr>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交货方式和交货地点</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u w:val="single"/>
        </w:rPr>
      </w:pPr>
      <w:r>
        <w:rPr>
          <w:rFonts w:hint="eastAsia" w:ascii="宋体" w:hAnsi="宋体"/>
          <w:sz w:val="24"/>
          <w:szCs w:val="20"/>
        </w:rPr>
        <w:t>2．1交货方式：</w:t>
      </w:r>
      <w:r>
        <w:rPr>
          <w:rFonts w:hint="eastAsia" w:ascii="宋体" w:hAnsi="宋体"/>
          <w:sz w:val="24"/>
          <w:szCs w:val="20"/>
          <w:u w:val="single"/>
        </w:rPr>
        <w:t xml:space="preserve">                          </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2．2交货地点：</w:t>
      </w:r>
      <w:r>
        <w:rPr>
          <w:rFonts w:hint="eastAsia" w:ascii="宋体" w:hAnsi="宋体"/>
          <w:sz w:val="24"/>
          <w:szCs w:val="20"/>
          <w:u w:val="single"/>
        </w:rPr>
        <w:t xml:space="preserve">                            </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3、供货清单</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3．1供货清单：包括产品主机、随机备品备件、专用工具的名称及数量。（</w:t>
      </w:r>
      <w:r>
        <w:rPr>
          <w:rFonts w:hint="eastAsia" w:ascii="宋体" w:hAnsi="宋体"/>
          <w:sz w:val="24"/>
          <w:szCs w:val="20"/>
          <w:lang w:eastAsia="zh-CN"/>
        </w:rPr>
        <w:t>采购人</w:t>
      </w:r>
      <w:r>
        <w:rPr>
          <w:rFonts w:hint="eastAsia" w:ascii="宋体" w:hAnsi="宋体"/>
          <w:sz w:val="24"/>
          <w:szCs w:val="20"/>
        </w:rPr>
        <w:t>对包装及运输有特别要求的，应作具体约定。）</w:t>
      </w:r>
    </w:p>
    <w:p>
      <w:pPr>
        <w:keepNext w:val="0"/>
        <w:keepLines w:val="0"/>
        <w:pageBreakBefore w:val="0"/>
        <w:widowControl w:val="0"/>
        <w:numPr>
          <w:ilvl w:val="0"/>
          <w:numId w:val="0"/>
        </w:numPr>
        <w:kinsoku/>
        <w:wordWrap/>
        <w:overflowPunct/>
        <w:topLinePunct w:val="0"/>
        <w:bidi w:val="0"/>
        <w:snapToGrid/>
        <w:spacing w:line="440" w:lineRule="exact"/>
        <w:ind w:leftChars="0"/>
        <w:textAlignment w:val="auto"/>
        <w:rPr>
          <w:rFonts w:hint="eastAsia" w:ascii="宋体" w:hAnsi="宋体"/>
          <w:b/>
          <w:sz w:val="24"/>
          <w:szCs w:val="20"/>
        </w:rPr>
      </w:pPr>
      <w:r>
        <w:rPr>
          <w:rFonts w:hint="eastAsia" w:ascii="宋体" w:hAnsi="宋体"/>
          <w:b/>
          <w:sz w:val="24"/>
          <w:szCs w:val="20"/>
          <w:lang w:val="en-US" w:eastAsia="zh-CN"/>
        </w:rPr>
        <w:t>4、</w:t>
      </w:r>
      <w:r>
        <w:rPr>
          <w:rFonts w:hint="eastAsia" w:ascii="宋体" w:hAnsi="宋体"/>
          <w:b/>
          <w:sz w:val="24"/>
          <w:szCs w:val="20"/>
        </w:rPr>
        <w:t>付款方式与条件</w:t>
      </w:r>
    </w:p>
    <w:p>
      <w:pPr>
        <w:keepNext w:val="0"/>
        <w:keepLines w:val="0"/>
        <w:pageBreakBefore w:val="0"/>
        <w:widowControl w:val="0"/>
        <w:numPr>
          <w:ilvl w:val="0"/>
          <w:numId w:val="0"/>
        </w:numPr>
        <w:kinsoku/>
        <w:wordWrap/>
        <w:overflowPunct/>
        <w:topLinePunct w:val="0"/>
        <w:bidi w:val="0"/>
        <w:snapToGrid/>
        <w:spacing w:line="440" w:lineRule="exact"/>
        <w:ind w:leftChars="0"/>
        <w:textAlignment w:val="auto"/>
        <w:rPr>
          <w:rFonts w:hint="eastAsia" w:ascii="宋体" w:hAnsi="宋体"/>
          <w:b/>
          <w:color w:val="auto"/>
          <w:sz w:val="24"/>
          <w:szCs w:val="20"/>
        </w:rPr>
      </w:pPr>
      <w:r>
        <w:rPr>
          <w:rFonts w:hint="eastAsia" w:ascii="宋体" w:hAnsi="宋体"/>
          <w:b/>
          <w:color w:val="auto"/>
          <w:sz w:val="24"/>
          <w:szCs w:val="20"/>
          <w:lang w:val="en-US" w:eastAsia="zh-CN"/>
        </w:rPr>
        <w:t>4.1</w:t>
      </w:r>
      <w:r>
        <w:rPr>
          <w:rFonts w:hint="eastAsia" w:ascii="宋体" w:hAnsi="宋体"/>
          <w:b w:val="0"/>
          <w:bCs/>
          <w:color w:val="auto"/>
          <w:sz w:val="24"/>
          <w:szCs w:val="20"/>
        </w:rPr>
        <w:t>履约保证金：乙方在签订合同前</w:t>
      </w:r>
      <w:r>
        <w:rPr>
          <w:rFonts w:hint="eastAsia" w:ascii="宋体" w:hAnsi="宋体"/>
          <w:b w:val="0"/>
          <w:bCs/>
          <w:color w:val="auto"/>
          <w:sz w:val="24"/>
          <w:szCs w:val="20"/>
          <w:lang w:val="en-US" w:eastAsia="zh-CN"/>
        </w:rPr>
        <w:t>5日内</w:t>
      </w:r>
      <w:r>
        <w:rPr>
          <w:rFonts w:hint="eastAsia" w:ascii="宋体" w:hAnsi="宋体"/>
          <w:b w:val="0"/>
          <w:bCs/>
          <w:color w:val="auto"/>
          <w:sz w:val="24"/>
          <w:szCs w:val="20"/>
        </w:rPr>
        <w:t>应以现金汇入或对公转帐方式向甲方提交合同总价5%</w:t>
      </w:r>
      <w:r>
        <w:rPr>
          <w:rFonts w:hint="eastAsia" w:ascii="宋体" w:hAnsi="宋体"/>
          <w:b w:val="0"/>
          <w:bCs/>
          <w:color w:val="auto"/>
          <w:sz w:val="24"/>
          <w:szCs w:val="20"/>
          <w:lang w:eastAsia="zh-CN"/>
        </w:rPr>
        <w:t>的履约保证金，即人民币</w:t>
      </w:r>
      <w:r>
        <w:rPr>
          <w:rFonts w:hint="eastAsia" w:ascii="宋体" w:hAnsi="宋体"/>
          <w:b w:val="0"/>
          <w:bCs/>
          <w:color w:val="auto"/>
          <w:sz w:val="24"/>
          <w:szCs w:val="20"/>
          <w:u w:val="single"/>
          <w:lang w:val="en-US" w:eastAsia="zh-CN"/>
        </w:rPr>
        <w:t xml:space="preserve">   </w:t>
      </w:r>
      <w:r>
        <w:rPr>
          <w:rFonts w:hint="eastAsia" w:ascii="宋体" w:hAnsi="宋体"/>
          <w:b w:val="0"/>
          <w:bCs/>
          <w:color w:val="auto"/>
          <w:sz w:val="24"/>
          <w:szCs w:val="20"/>
          <w:lang w:val="en-US" w:eastAsia="zh-CN"/>
        </w:rPr>
        <w:t>万元</w:t>
      </w:r>
      <w:r>
        <w:rPr>
          <w:rFonts w:hint="eastAsia" w:ascii="宋体" w:hAnsi="宋体"/>
          <w:b w:val="0"/>
          <w:bCs/>
          <w:color w:val="auto"/>
          <w:sz w:val="24"/>
          <w:szCs w:val="20"/>
        </w:rPr>
        <w:t>（￥</w:t>
      </w:r>
      <w:r>
        <w:rPr>
          <w:rFonts w:hint="eastAsia" w:ascii="宋体" w:hAnsi="宋体"/>
          <w:b w:val="0"/>
          <w:bCs/>
          <w:color w:val="auto"/>
          <w:sz w:val="24"/>
          <w:szCs w:val="20"/>
          <w:lang w:val="en-US" w:eastAsia="zh-CN"/>
        </w:rPr>
        <w:t xml:space="preserve">     </w:t>
      </w:r>
      <w:r>
        <w:rPr>
          <w:rFonts w:hint="eastAsia" w:ascii="宋体" w:hAnsi="宋体"/>
          <w:b w:val="0"/>
          <w:bCs/>
          <w:color w:val="auto"/>
          <w:sz w:val="24"/>
          <w:szCs w:val="20"/>
        </w:rPr>
        <w:t>）整</w:t>
      </w:r>
      <w:r>
        <w:rPr>
          <w:rFonts w:hint="eastAsia" w:ascii="宋体" w:hAnsi="宋体"/>
          <w:b w:val="0"/>
          <w:bCs/>
          <w:color w:val="auto"/>
          <w:sz w:val="24"/>
          <w:szCs w:val="20"/>
          <w:lang w:eastAsia="zh-CN"/>
        </w:rPr>
        <w:t>。</w:t>
      </w:r>
      <w:r>
        <w:rPr>
          <w:rFonts w:hint="eastAsia" w:ascii="宋体" w:hAnsi="宋体"/>
          <w:b w:val="0"/>
          <w:bCs/>
          <w:color w:val="auto"/>
          <w:sz w:val="24"/>
          <w:szCs w:val="20"/>
        </w:rPr>
        <w:t>该履约保证金在合同履行完毕后</w:t>
      </w:r>
      <w:r>
        <w:rPr>
          <w:rFonts w:hint="eastAsia" w:ascii="宋体" w:hAnsi="宋体"/>
          <w:b w:val="0"/>
          <w:bCs/>
          <w:color w:val="auto"/>
          <w:sz w:val="24"/>
          <w:szCs w:val="20"/>
          <w:lang w:val="en-US" w:eastAsia="zh-CN"/>
        </w:rPr>
        <w:t>10日内</w:t>
      </w:r>
      <w:r>
        <w:rPr>
          <w:rFonts w:hint="eastAsia" w:ascii="宋体" w:hAnsi="宋体"/>
          <w:b w:val="0"/>
          <w:bCs/>
          <w:color w:val="auto"/>
          <w:sz w:val="24"/>
          <w:szCs w:val="20"/>
        </w:rPr>
        <w:t>由</w:t>
      </w:r>
      <w:r>
        <w:rPr>
          <w:rFonts w:hint="eastAsia" w:ascii="宋体" w:hAnsi="宋体"/>
          <w:b w:val="0"/>
          <w:bCs/>
          <w:color w:val="auto"/>
          <w:sz w:val="24"/>
          <w:szCs w:val="20"/>
          <w:lang w:eastAsia="zh-CN"/>
        </w:rPr>
        <w:t>甲方一</w:t>
      </w:r>
      <w:r>
        <w:rPr>
          <w:rFonts w:hint="eastAsia" w:ascii="宋体" w:hAnsi="宋体"/>
          <w:b w:val="0"/>
          <w:bCs/>
          <w:color w:val="auto"/>
          <w:sz w:val="24"/>
          <w:szCs w:val="20"/>
        </w:rPr>
        <w:t>次性无息退还。乙方违约应当支付违约金的，甲方有权从乙方的履约保证金中直接扣除</w:t>
      </w:r>
      <w:r>
        <w:rPr>
          <w:rFonts w:hint="eastAsia" w:ascii="宋体" w:hAnsi="宋体"/>
          <w:b w:val="0"/>
          <w:bCs/>
          <w:color w:val="auto"/>
          <w:sz w:val="24"/>
          <w:szCs w:val="20"/>
          <w:lang w:eastAsia="zh-CN"/>
        </w:rPr>
        <w:t>，不足部分由乙方另外补足。</w:t>
      </w:r>
      <w:r>
        <w:rPr>
          <w:rFonts w:hint="eastAsia" w:ascii="宋体" w:hAnsi="宋体"/>
          <w:b/>
          <w:color w:val="auto"/>
          <w:sz w:val="24"/>
          <w:szCs w:val="20"/>
        </w:rPr>
        <w:t xml:space="preserve">   </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4．</w:t>
      </w:r>
      <w:r>
        <w:rPr>
          <w:rFonts w:hint="eastAsia" w:ascii="宋体" w:hAnsi="宋体"/>
          <w:sz w:val="24"/>
          <w:szCs w:val="20"/>
          <w:lang w:val="en-US" w:eastAsia="zh-CN"/>
        </w:rPr>
        <w:t>2</w:t>
      </w:r>
      <w:r>
        <w:rPr>
          <w:rFonts w:hint="eastAsia" w:ascii="宋体" w:hAnsi="宋体"/>
          <w:sz w:val="24"/>
          <w:szCs w:val="20"/>
        </w:rPr>
        <w:t>货物交货付款</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全部货物交货并经验收合格后，</w:t>
      </w:r>
      <w:r>
        <w:rPr>
          <w:rFonts w:hint="eastAsia" w:ascii="宋体" w:hAnsi="宋体"/>
          <w:color w:val="auto"/>
          <w:sz w:val="24"/>
          <w:szCs w:val="20"/>
        </w:rPr>
        <w:t>甲方</w:t>
      </w:r>
      <w:r>
        <w:rPr>
          <w:rFonts w:hint="eastAsia" w:ascii="宋体" w:hAnsi="宋体"/>
          <w:color w:val="auto"/>
          <w:sz w:val="24"/>
          <w:szCs w:val="20"/>
          <w:lang w:val="en-US" w:eastAsia="zh-CN"/>
        </w:rPr>
        <w:t>每月</w:t>
      </w:r>
      <w:r>
        <w:rPr>
          <w:rFonts w:hint="eastAsia" w:ascii="宋体" w:hAnsi="宋体"/>
          <w:color w:val="auto"/>
          <w:sz w:val="24"/>
          <w:szCs w:val="20"/>
        </w:rPr>
        <w:t>凭收</w:t>
      </w:r>
      <w:r>
        <w:rPr>
          <w:rFonts w:hint="eastAsia" w:ascii="宋体" w:hAnsi="宋体"/>
          <w:sz w:val="24"/>
          <w:szCs w:val="20"/>
        </w:rPr>
        <w:t>讫货物的验收凭证和货物验收合格文件等材料以</w:t>
      </w:r>
      <w:r>
        <w:rPr>
          <w:rFonts w:hint="eastAsia" w:ascii="宋体" w:hAnsi="宋体"/>
          <w:sz w:val="24"/>
          <w:szCs w:val="20"/>
          <w:u w:val="single"/>
        </w:rPr>
        <w:t xml:space="preserve">    </w:t>
      </w:r>
      <w:r>
        <w:rPr>
          <w:rFonts w:hint="eastAsia" w:ascii="宋体" w:hAnsi="宋体"/>
          <w:sz w:val="24"/>
          <w:szCs w:val="20"/>
        </w:rPr>
        <w:t>方式向乙方一次性支付</w:t>
      </w:r>
      <w:r>
        <w:rPr>
          <w:rFonts w:hint="eastAsia" w:ascii="宋体" w:hAnsi="宋体"/>
          <w:sz w:val="24"/>
          <w:szCs w:val="20"/>
          <w:u w:val="single"/>
        </w:rPr>
        <w:t xml:space="preserve">    </w:t>
      </w:r>
      <w:r>
        <w:rPr>
          <w:rFonts w:hint="eastAsia" w:ascii="宋体" w:hAnsi="宋体"/>
          <w:sz w:val="24"/>
          <w:szCs w:val="20"/>
        </w:rPr>
        <w:t xml:space="preserve"> 的货物价款。现场交货条件下，乙方要求付款应提交下列单证和文件。</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a.金额为有关合同货物价格</w:t>
      </w:r>
      <w:r>
        <w:rPr>
          <w:rFonts w:hint="eastAsia" w:ascii="宋体" w:hAnsi="宋体"/>
          <w:sz w:val="24"/>
          <w:szCs w:val="20"/>
          <w:u w:val="single"/>
        </w:rPr>
        <w:t xml:space="preserve">    %</w:t>
      </w:r>
      <w:r>
        <w:rPr>
          <w:rFonts w:hint="eastAsia" w:ascii="宋体" w:hAnsi="宋体"/>
          <w:sz w:val="24"/>
          <w:szCs w:val="20"/>
        </w:rPr>
        <w:t>的正式发票。</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b.制造厂家出具的货物质量合格证书。</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c. 甲方已收讫货物的验收凭证。</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d. 甲方签发的验收合格文件。</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4．2余下的货款应于</w:t>
      </w:r>
      <w:r>
        <w:rPr>
          <w:rFonts w:hint="eastAsia" w:ascii="宋体" w:hAnsi="宋体"/>
          <w:sz w:val="24"/>
          <w:szCs w:val="20"/>
          <w:u w:val="single"/>
        </w:rPr>
        <w:t xml:space="preserve">          (时间)</w:t>
      </w:r>
      <w:r>
        <w:rPr>
          <w:rFonts w:hint="eastAsia" w:ascii="宋体" w:hAnsi="宋体"/>
          <w:sz w:val="24"/>
          <w:szCs w:val="20"/>
        </w:rPr>
        <w:t xml:space="preserve">内支付。  </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5、质量要求和技术标准</w:t>
      </w:r>
    </w:p>
    <w:p>
      <w:pPr>
        <w:keepNext w:val="0"/>
        <w:keepLines w:val="0"/>
        <w:pageBreakBefore w:val="0"/>
        <w:widowControl w:val="0"/>
        <w:kinsoku/>
        <w:wordWrap/>
        <w:overflowPunct/>
        <w:topLinePunct w:val="0"/>
        <w:bidi w:val="0"/>
        <w:snapToGrid/>
        <w:spacing w:line="440" w:lineRule="exact"/>
        <w:ind w:firstLine="360" w:firstLineChars="150"/>
        <w:textAlignment w:val="auto"/>
        <w:rPr>
          <w:rFonts w:hint="eastAsia" w:ascii="宋体" w:hAnsi="宋体"/>
          <w:sz w:val="24"/>
          <w:szCs w:val="20"/>
        </w:rPr>
      </w:pPr>
      <w:r>
        <w:rPr>
          <w:rFonts w:hint="eastAsia" w:ascii="宋体" w:hAnsi="宋体"/>
          <w:sz w:val="24"/>
          <w:szCs w:val="20"/>
        </w:rPr>
        <w:t>质量条款可细分为产品质量、包装质量、技术资料质量等内容。</w:t>
      </w:r>
    </w:p>
    <w:p>
      <w:pPr>
        <w:keepNext w:val="0"/>
        <w:keepLines w:val="0"/>
        <w:pageBreakBefore w:val="0"/>
        <w:widowControl w:val="0"/>
        <w:kinsoku/>
        <w:wordWrap/>
        <w:overflowPunct/>
        <w:topLinePunct w:val="0"/>
        <w:bidi w:val="0"/>
        <w:snapToGrid/>
        <w:spacing w:line="440" w:lineRule="exact"/>
        <w:ind w:firstLine="240" w:firstLineChars="100"/>
        <w:textAlignment w:val="auto"/>
        <w:rPr>
          <w:rFonts w:hint="eastAsia" w:ascii="宋体" w:hAnsi="宋体"/>
          <w:sz w:val="24"/>
          <w:szCs w:val="20"/>
        </w:rPr>
      </w:pPr>
      <w:r>
        <w:rPr>
          <w:rFonts w:hint="eastAsia" w:ascii="宋体" w:hAnsi="宋体"/>
          <w:sz w:val="24"/>
          <w:szCs w:val="20"/>
        </w:rPr>
        <w:t>（质量要求和技术标准应按招标文件要求填列。）</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6、安装调试、技术服务、人员培训及技术资料</w:t>
      </w:r>
    </w:p>
    <w:p>
      <w:pPr>
        <w:keepNext w:val="0"/>
        <w:keepLines w:val="0"/>
        <w:pageBreakBefore w:val="0"/>
        <w:widowControl w:val="0"/>
        <w:kinsoku/>
        <w:wordWrap/>
        <w:overflowPunct/>
        <w:topLinePunct w:val="0"/>
        <w:bidi w:val="0"/>
        <w:snapToGrid/>
        <w:spacing w:line="440" w:lineRule="exact"/>
        <w:ind w:firstLine="240" w:firstLineChars="100"/>
        <w:textAlignment w:val="auto"/>
        <w:rPr>
          <w:rFonts w:hint="eastAsia" w:ascii="宋体" w:hAnsi="宋体"/>
          <w:sz w:val="24"/>
          <w:szCs w:val="20"/>
        </w:rPr>
      </w:pPr>
      <w:r>
        <w:rPr>
          <w:rFonts w:hint="eastAsia" w:ascii="宋体" w:hAnsi="宋体"/>
          <w:sz w:val="24"/>
          <w:szCs w:val="20"/>
        </w:rPr>
        <w:t>（安装调试、技术服务、人员培训及技术资料应按招标文件要求填列。）</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7、验收</w:t>
      </w:r>
    </w:p>
    <w:p>
      <w:pPr>
        <w:keepNext w:val="0"/>
        <w:keepLines w:val="0"/>
        <w:pageBreakBefore w:val="0"/>
        <w:widowControl w:val="0"/>
        <w:kinsoku/>
        <w:wordWrap/>
        <w:overflowPunct/>
        <w:topLinePunct w:val="0"/>
        <w:bidi w:val="0"/>
        <w:snapToGrid/>
        <w:spacing w:line="440" w:lineRule="exact"/>
        <w:ind w:firstLine="360" w:firstLineChars="150"/>
        <w:textAlignment w:val="auto"/>
        <w:rPr>
          <w:rFonts w:hint="eastAsia" w:ascii="宋体" w:hAnsi="宋体"/>
          <w:sz w:val="24"/>
          <w:szCs w:val="20"/>
        </w:rPr>
      </w:pPr>
      <w:r>
        <w:rPr>
          <w:rFonts w:hint="eastAsia" w:ascii="宋体" w:hAnsi="宋体"/>
          <w:sz w:val="24"/>
          <w:szCs w:val="20"/>
        </w:rPr>
        <w:t>（货物验收标准和方法应按招标文件要求填列。）验收结果经双方确认后，双方代表必须按规定的验收交接单上的项目对照本合同填好验收结果并签名盖章。</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验收可细分为到货时的外在质量的验收，投产前的质量验收，投产后的质量验收，大型设备可能还存在更多的验收步骤和验收方式，</w:t>
      </w:r>
      <w:r>
        <w:rPr>
          <w:rFonts w:hint="eastAsia" w:ascii="宋体" w:hAnsi="宋体"/>
          <w:sz w:val="24"/>
          <w:szCs w:val="20"/>
          <w:lang w:eastAsia="zh-CN"/>
        </w:rPr>
        <w:t>采购人</w:t>
      </w:r>
      <w:r>
        <w:rPr>
          <w:rFonts w:hint="eastAsia" w:ascii="宋体" w:hAnsi="宋体"/>
          <w:sz w:val="24"/>
          <w:szCs w:val="20"/>
        </w:rPr>
        <w:t>可在招标文件中细化规定。</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8、质量保证</w:t>
      </w:r>
    </w:p>
    <w:p>
      <w:pPr>
        <w:keepNext w:val="0"/>
        <w:keepLines w:val="0"/>
        <w:pageBreakBefore w:val="0"/>
        <w:widowControl w:val="0"/>
        <w:kinsoku/>
        <w:wordWrap/>
        <w:overflowPunct/>
        <w:topLinePunct w:val="0"/>
        <w:bidi w:val="0"/>
        <w:snapToGrid/>
        <w:spacing w:line="440" w:lineRule="exact"/>
        <w:textAlignment w:val="auto"/>
        <w:rPr>
          <w:rFonts w:hint="default" w:ascii="宋体" w:hAnsi="宋体" w:eastAsia="宋体"/>
          <w:strike w:val="0"/>
          <w:dstrike w:val="0"/>
          <w:color w:val="auto"/>
          <w:sz w:val="24"/>
          <w:u w:val="none"/>
          <w:lang w:val="en-US" w:eastAsia="zh-CN"/>
        </w:rPr>
      </w:pPr>
      <w:r>
        <w:rPr>
          <w:rFonts w:hint="eastAsia" w:ascii="宋体" w:hAnsi="宋体"/>
          <w:strike w:val="0"/>
          <w:dstrike w:val="0"/>
          <w:color w:val="auto"/>
          <w:sz w:val="24"/>
          <w:lang w:val="en-US" w:eastAsia="zh-CN"/>
        </w:rPr>
        <w:t>本次采购的货物质量保证期为货物经最终验收合格后</w:t>
      </w:r>
      <w:r>
        <w:rPr>
          <w:rFonts w:hint="eastAsia" w:ascii="宋体" w:hAnsi="宋体"/>
          <w:strike w:val="0"/>
          <w:dstrike w:val="0"/>
          <w:color w:val="auto"/>
          <w:sz w:val="24"/>
          <w:u w:val="single"/>
          <w:lang w:val="en-US" w:eastAsia="zh-CN"/>
        </w:rPr>
        <w:t xml:space="preserve">   </w:t>
      </w:r>
      <w:r>
        <w:rPr>
          <w:rFonts w:hint="eastAsia" w:ascii="宋体" w:hAnsi="宋体"/>
          <w:strike w:val="0"/>
          <w:dstrike w:val="0"/>
          <w:color w:val="auto"/>
          <w:sz w:val="24"/>
          <w:u w:val="none"/>
          <w:lang w:val="en-US" w:eastAsia="zh-CN"/>
        </w:rPr>
        <w:t xml:space="preserve"> 个月，在质量保证期如出现产品质量问题，乙方无条件退货或者更换,且</w:t>
      </w:r>
      <w:r>
        <w:rPr>
          <w:rFonts w:hint="eastAsia" w:ascii="宋体" w:hAnsi="宋体" w:cs="宋体"/>
          <w:color w:val="auto"/>
          <w:sz w:val="24"/>
          <w:szCs w:val="24"/>
        </w:rPr>
        <w:t>必须承担</w:t>
      </w:r>
      <w:r>
        <w:rPr>
          <w:rFonts w:hint="eastAsia" w:ascii="宋体" w:hAnsi="宋体" w:cs="宋体"/>
          <w:color w:val="auto"/>
          <w:sz w:val="24"/>
          <w:szCs w:val="24"/>
          <w:lang w:eastAsia="zh-CN"/>
        </w:rPr>
        <w:t>给甲方造成的</w:t>
      </w:r>
      <w:r>
        <w:rPr>
          <w:rFonts w:hint="eastAsia" w:ascii="宋体" w:hAnsi="宋体" w:cs="宋体"/>
          <w:color w:val="auto"/>
          <w:sz w:val="24"/>
          <w:szCs w:val="24"/>
        </w:rPr>
        <w:t>相应损失。</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9、知识产权：</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rPr>
      </w:pPr>
      <w:r>
        <w:rPr>
          <w:rFonts w:hint="eastAsia" w:ascii="宋体" w:hAnsi="宋体"/>
          <w:sz w:val="24"/>
          <w:szCs w:val="20"/>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rPr>
      </w:pPr>
      <w:r>
        <w:rPr>
          <w:rFonts w:hint="eastAsia" w:ascii="宋体" w:hAnsi="宋体"/>
          <w:b/>
          <w:sz w:val="24"/>
          <w:szCs w:val="20"/>
        </w:rPr>
        <w:t>10、违约责任</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rPr>
        <w:t>10．1未按期交货的违约责任</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u w:val="single" w:color="FFFFFF"/>
        </w:rPr>
      </w:pPr>
      <w:r>
        <w:rPr>
          <w:rFonts w:hint="eastAsia" w:ascii="宋体" w:hAnsi="宋体"/>
          <w:sz w:val="24"/>
          <w:szCs w:val="20"/>
        </w:rPr>
        <w:t>10．1．1如果乙方未能</w:t>
      </w:r>
      <w:r>
        <w:rPr>
          <w:rFonts w:hint="eastAsia" w:ascii="宋体" w:hAnsi="宋体"/>
          <w:color w:val="auto"/>
          <w:sz w:val="24"/>
          <w:szCs w:val="20"/>
        </w:rPr>
        <w:t>按合同规定的时间按时足额交货的（不可抗力除外），在乙方书面同意支付延期交货违约金的条件下的，甲方有权选择同意延长交货期还是不予延长交货期，甲方同意延长交货期的，延期交货的时间由双方</w:t>
      </w:r>
      <w:r>
        <w:rPr>
          <w:rFonts w:hint="eastAsia" w:ascii="宋体" w:hAnsi="宋体"/>
          <w:color w:val="auto"/>
          <w:sz w:val="24"/>
          <w:szCs w:val="20"/>
          <w:lang w:eastAsia="zh-CN"/>
        </w:rPr>
        <w:t>另</w:t>
      </w:r>
      <w:r>
        <w:rPr>
          <w:rFonts w:hint="eastAsia" w:ascii="宋体" w:hAnsi="宋体"/>
          <w:color w:val="auto"/>
          <w:sz w:val="24"/>
          <w:szCs w:val="20"/>
        </w:rPr>
        <w:t>行确定。延期交货违约金的支付甲方有权从未付的合同货款中扣除。延期交货违约金比率为每迟交</w:t>
      </w:r>
      <w:r>
        <w:rPr>
          <w:rFonts w:hint="eastAsia" w:ascii="宋体" w:hAnsi="宋体"/>
          <w:color w:val="auto"/>
          <w:sz w:val="24"/>
          <w:szCs w:val="20"/>
          <w:u w:val="single"/>
        </w:rPr>
        <w:t>1</w:t>
      </w:r>
      <w:r>
        <w:rPr>
          <w:rFonts w:hint="eastAsia" w:ascii="宋体" w:hAnsi="宋体"/>
          <w:color w:val="auto"/>
          <w:sz w:val="24"/>
          <w:szCs w:val="20"/>
          <w:u w:val="single" w:color="FFFFFF"/>
        </w:rPr>
        <w:t>天，按迟交货物金额的</w:t>
      </w:r>
      <w:r>
        <w:rPr>
          <w:rFonts w:hint="eastAsia" w:ascii="宋体" w:hAnsi="宋体"/>
          <w:color w:val="auto"/>
          <w:sz w:val="24"/>
          <w:szCs w:val="20"/>
          <w:u w:val="single"/>
        </w:rPr>
        <w:t xml:space="preserve">    %</w:t>
      </w:r>
      <w:r>
        <w:rPr>
          <w:rFonts w:hint="eastAsia" w:ascii="宋体" w:hAnsi="宋体"/>
          <w:color w:val="auto"/>
          <w:sz w:val="24"/>
          <w:szCs w:val="20"/>
          <w:u w:val="none"/>
          <w:lang w:eastAsia="zh-CN"/>
        </w:rPr>
        <w:t>计算</w:t>
      </w:r>
      <w:r>
        <w:rPr>
          <w:rFonts w:hint="eastAsia" w:ascii="宋体" w:hAnsi="宋体"/>
          <w:color w:val="auto"/>
          <w:sz w:val="24"/>
          <w:szCs w:val="20"/>
          <w:u w:val="single" w:color="FFFFFF"/>
        </w:rPr>
        <w:t>。但是，延期交货违约金的支付总额不</w:t>
      </w:r>
      <w:r>
        <w:rPr>
          <w:rFonts w:hint="eastAsia" w:ascii="宋体" w:hAnsi="宋体"/>
          <w:sz w:val="24"/>
          <w:szCs w:val="20"/>
          <w:u w:val="single" w:color="FFFFFF"/>
        </w:rPr>
        <w:t>得超过迟交货物部分合同金额的</w:t>
      </w:r>
      <w:r>
        <w:rPr>
          <w:rFonts w:hint="eastAsia" w:ascii="宋体" w:hAnsi="宋体"/>
          <w:sz w:val="24"/>
          <w:szCs w:val="20"/>
          <w:u w:val="single"/>
        </w:rPr>
        <w:t xml:space="preserve">    %</w:t>
      </w:r>
      <w:r>
        <w:rPr>
          <w:rFonts w:hint="eastAsia" w:ascii="宋体" w:hAnsi="宋体"/>
          <w:sz w:val="24"/>
          <w:szCs w:val="20"/>
          <w:u w:val="single" w:color="FFFFFF"/>
        </w:rPr>
        <w:t>。</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10．1．2如果</w:t>
      </w:r>
      <w:r>
        <w:rPr>
          <w:rFonts w:hint="eastAsia" w:ascii="宋体" w:hAnsi="宋体"/>
          <w:sz w:val="24"/>
          <w:szCs w:val="20"/>
        </w:rPr>
        <w:t>乙方未能按合同规定的时间或双方另行确定的延期交货期按时足额交货的（不可抗力除外），每逾期1天，乙方应按迟交货物金额的</w:t>
      </w:r>
      <w:r>
        <w:rPr>
          <w:rFonts w:hint="eastAsia" w:ascii="宋体" w:hAnsi="宋体"/>
          <w:sz w:val="24"/>
          <w:szCs w:val="20"/>
          <w:u w:val="single"/>
        </w:rPr>
        <w:t xml:space="preserve">   %</w:t>
      </w:r>
      <w:r>
        <w:rPr>
          <w:rFonts w:hint="eastAsia" w:ascii="宋体" w:hAnsi="宋体"/>
          <w:sz w:val="24"/>
          <w:szCs w:val="20"/>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10．2若</w:t>
      </w:r>
      <w:r>
        <w:rPr>
          <w:rFonts w:hint="eastAsia" w:ascii="宋体" w:hAnsi="宋体"/>
          <w:sz w:val="24"/>
          <w:szCs w:val="20"/>
        </w:rPr>
        <w:t>乙方不能交货的（逾期15个工作日视为不能交货，因不可抗拒的因素除外）或交货不合格从而影响甲方正常使用的，乙方应向甲方偿付不能交货部分货款的</w:t>
      </w:r>
      <w:r>
        <w:rPr>
          <w:rFonts w:hint="eastAsia" w:ascii="宋体" w:hAnsi="宋体"/>
          <w:sz w:val="24"/>
          <w:szCs w:val="20"/>
          <w:u w:val="single"/>
        </w:rPr>
        <w:t xml:space="preserve">  %</w:t>
      </w:r>
      <w:r>
        <w:rPr>
          <w:rFonts w:hint="eastAsia" w:ascii="宋体" w:hAnsi="宋体"/>
          <w:sz w:val="24"/>
          <w:szCs w:val="20"/>
        </w:rPr>
        <w:t>的违约金。违约金不足以补偿损失的，甲方有权要求乙方赔偿损失。</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10．3如果</w:t>
      </w:r>
      <w:r>
        <w:rPr>
          <w:rFonts w:hint="eastAsia" w:ascii="宋体" w:hAnsi="宋体"/>
          <w:sz w:val="24"/>
          <w:szCs w:val="20"/>
        </w:rPr>
        <w:t>乙方未能按照合同约定的时间提供服务的，每逾期</w:t>
      </w:r>
      <w:r>
        <w:rPr>
          <w:rFonts w:hint="eastAsia" w:ascii="宋体" w:hAnsi="宋体"/>
          <w:sz w:val="24"/>
          <w:szCs w:val="20"/>
          <w:u w:val="single"/>
        </w:rPr>
        <w:t xml:space="preserve">   </w:t>
      </w:r>
      <w:r>
        <w:rPr>
          <w:rFonts w:hint="eastAsia" w:ascii="宋体" w:hAnsi="宋体"/>
          <w:sz w:val="24"/>
          <w:szCs w:val="20"/>
        </w:rPr>
        <w:t>天的，乙方应向甲方支付出</w:t>
      </w:r>
      <w:r>
        <w:rPr>
          <w:rFonts w:hint="eastAsia" w:ascii="宋体" w:hAnsi="宋体"/>
          <w:sz w:val="24"/>
          <w:szCs w:val="20"/>
          <w:u w:val="single"/>
        </w:rPr>
        <w:t xml:space="preserve">      </w:t>
      </w:r>
      <w:r>
        <w:rPr>
          <w:rFonts w:hint="eastAsia" w:ascii="宋体" w:hAnsi="宋体"/>
          <w:sz w:val="24"/>
          <w:szCs w:val="20"/>
        </w:rPr>
        <w:t>元违约金，若因此给甲方造成损失的，乙方还应赔偿甲方所受的损失。</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10．4</w:t>
      </w:r>
      <w:r>
        <w:rPr>
          <w:rFonts w:hint="eastAsia" w:ascii="宋体" w:hAnsi="宋体"/>
          <w:sz w:val="24"/>
          <w:szCs w:val="20"/>
        </w:rPr>
        <w:t>甲方逾期付款的（有正当拒付理由的除外）应按照逾期金额的每日</w:t>
      </w:r>
      <w:r>
        <w:rPr>
          <w:rFonts w:hint="eastAsia" w:ascii="宋体" w:hAnsi="宋体"/>
          <w:sz w:val="24"/>
          <w:szCs w:val="20"/>
          <w:u w:val="single"/>
        </w:rPr>
        <w:t xml:space="preserve">  %</w:t>
      </w:r>
      <w:r>
        <w:rPr>
          <w:rFonts w:hint="eastAsia" w:ascii="宋体" w:hAnsi="宋体"/>
          <w:sz w:val="24"/>
          <w:szCs w:val="20"/>
        </w:rPr>
        <w:t>支付逾期付款违约金。</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u w:val="single" w:color="FFFFFF"/>
        </w:rPr>
      </w:pPr>
      <w:r>
        <w:rPr>
          <w:rFonts w:hint="eastAsia" w:ascii="宋体" w:hAnsi="宋体"/>
          <w:b/>
          <w:sz w:val="24"/>
          <w:szCs w:val="20"/>
          <w:u w:val="single" w:color="FFFFFF"/>
        </w:rPr>
        <w:t>11、违约终止合同</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11．1在补救违约而采取的任何其他措施未能实现的情况下的，即在</w:t>
      </w:r>
      <w:r>
        <w:rPr>
          <w:rFonts w:hint="eastAsia" w:ascii="宋体" w:hAnsi="宋体"/>
          <w:sz w:val="24"/>
          <w:szCs w:val="20"/>
        </w:rPr>
        <w:t>甲方发出的违约通知后30天内（或经甲方书面确认的更长时间内）仍未纠正其下述任何一种违约行为，甲方有权向乙方发出书面违</w:t>
      </w:r>
      <w:r>
        <w:rPr>
          <w:rFonts w:hint="eastAsia" w:ascii="宋体" w:hAnsi="宋体"/>
          <w:color w:val="auto"/>
          <w:sz w:val="24"/>
          <w:szCs w:val="20"/>
        </w:rPr>
        <w:t>约通知，</w:t>
      </w:r>
      <w:r>
        <w:rPr>
          <w:rFonts w:hint="eastAsia" w:ascii="宋体" w:hAnsi="宋体"/>
          <w:color w:val="auto"/>
          <w:sz w:val="24"/>
          <w:szCs w:val="20"/>
          <w:lang w:eastAsia="zh-CN"/>
        </w:rPr>
        <w:t>并</w:t>
      </w:r>
      <w:r>
        <w:rPr>
          <w:rFonts w:hint="eastAsia" w:ascii="宋体" w:hAnsi="宋体"/>
          <w:color w:val="auto"/>
          <w:sz w:val="24"/>
          <w:szCs w:val="20"/>
        </w:rPr>
        <w:t>终止本合同：</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11．1．1如果</w:t>
      </w:r>
      <w:r>
        <w:rPr>
          <w:rFonts w:hint="eastAsia" w:ascii="宋体" w:hAnsi="宋体"/>
          <w:sz w:val="24"/>
          <w:szCs w:val="20"/>
        </w:rPr>
        <w:t>乙方未能在合同规定的期限内或双方另行确定的延期交货时间内交付合同约定的货物。</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11．1．2</w:t>
      </w:r>
      <w:r>
        <w:rPr>
          <w:rFonts w:hint="eastAsia" w:ascii="宋体" w:hAnsi="宋体"/>
          <w:sz w:val="24"/>
          <w:szCs w:val="20"/>
        </w:rPr>
        <w:t>乙方未能履行合同项下的任何其它义务。</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u w:val="single" w:color="FFFFFF"/>
        </w:rPr>
      </w:pPr>
      <w:r>
        <w:rPr>
          <w:rFonts w:hint="eastAsia" w:ascii="宋体" w:hAnsi="宋体"/>
          <w:b/>
          <w:sz w:val="24"/>
          <w:szCs w:val="20"/>
          <w:u w:val="single" w:color="FFFFFF"/>
        </w:rPr>
        <w:t>12、不可抗力</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u w:val="single" w:color="FFFFFF"/>
        </w:rPr>
      </w:pPr>
      <w:r>
        <w:rPr>
          <w:rFonts w:hint="eastAsia" w:ascii="宋体" w:hAnsi="宋体"/>
          <w:sz w:val="24"/>
          <w:szCs w:val="20"/>
          <w:u w:val="single" w:color="FFFFFF"/>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0"/>
          <w:u w:val="single" w:color="FFFFFF"/>
        </w:rPr>
      </w:pPr>
      <w:r>
        <w:rPr>
          <w:rFonts w:hint="eastAsia" w:ascii="宋体" w:hAnsi="宋体"/>
          <w:sz w:val="24"/>
          <w:szCs w:val="20"/>
          <w:u w:val="single" w:color="FFFFFF"/>
        </w:rPr>
        <w:t>本合同中的不可抗力指不能预见、不能避免并不能克服的客观情况。包括但不限于：自然灾害如地震、台风、洪水、火灾；政府行为、法律规定或其适用的变化或者其他任何无法预见、避免或者控制的事件。</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u w:val="single" w:color="FFFFFF"/>
        </w:rPr>
      </w:pPr>
      <w:r>
        <w:rPr>
          <w:rFonts w:hint="eastAsia" w:ascii="宋体" w:hAnsi="宋体"/>
          <w:b/>
          <w:sz w:val="24"/>
          <w:szCs w:val="20"/>
          <w:u w:val="single" w:color="FFFFFF"/>
        </w:rPr>
        <w:t>13、合同纠纷处理方式</w:t>
      </w:r>
      <w:r>
        <w:rPr>
          <w:rFonts w:hint="eastAsia" w:ascii="宋体" w:hAnsi="宋体"/>
          <w:sz w:val="24"/>
          <w:szCs w:val="20"/>
          <w:u w:val="single" w:color="FFFFFF"/>
        </w:rPr>
        <w:t>：因本合同或与本合同有关的一切事项发生争议，由双方友好协商解决。协商不成的，任何一方均可选择以下方式解决：</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（1）向</w:t>
      </w:r>
      <w:r>
        <w:rPr>
          <w:rFonts w:hint="eastAsia" w:ascii="宋体" w:hAnsi="宋体"/>
          <w:sz w:val="24"/>
          <w:szCs w:val="20"/>
          <w:u w:val="single"/>
        </w:rPr>
        <w:t xml:space="preserve">    （甲方所在地）</w:t>
      </w:r>
      <w:r>
        <w:rPr>
          <w:rFonts w:hint="eastAsia" w:ascii="宋体" w:hAnsi="宋体"/>
          <w:sz w:val="24"/>
          <w:szCs w:val="20"/>
        </w:rPr>
        <w:t>仲裁委员会申请仲裁；</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color w:val="auto"/>
          <w:sz w:val="24"/>
          <w:szCs w:val="20"/>
          <w:u w:val="single" w:color="FFFFFF"/>
        </w:rPr>
      </w:pPr>
      <w:r>
        <w:rPr>
          <w:rFonts w:hint="eastAsia" w:ascii="宋体" w:hAnsi="宋体"/>
          <w:color w:val="auto"/>
          <w:sz w:val="24"/>
          <w:szCs w:val="20"/>
          <w:u w:val="single" w:color="FFFFFF"/>
        </w:rPr>
        <w:t>（2）向</w:t>
      </w:r>
      <w:r>
        <w:rPr>
          <w:rFonts w:hint="eastAsia" w:ascii="宋体" w:hAnsi="宋体"/>
          <w:color w:val="auto"/>
          <w:sz w:val="24"/>
          <w:szCs w:val="20"/>
          <w:u w:val="single" w:color="FFFFFF"/>
          <w:lang w:val="en-US" w:eastAsia="zh-CN"/>
        </w:rPr>
        <w:t>甲方所在地</w:t>
      </w:r>
      <w:r>
        <w:rPr>
          <w:rFonts w:hint="eastAsia" w:ascii="宋体" w:hAnsi="宋体"/>
          <w:color w:val="auto"/>
          <w:sz w:val="24"/>
          <w:szCs w:val="20"/>
          <w:u w:val="single" w:color="FFFFFF"/>
        </w:rPr>
        <w:t>人民法院提起诉讼。</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sz w:val="24"/>
          <w:szCs w:val="20"/>
          <w:u w:val="single" w:color="FFFFFF"/>
        </w:rPr>
      </w:pPr>
      <w:r>
        <w:rPr>
          <w:rFonts w:hint="eastAsia" w:ascii="宋体" w:hAnsi="宋体"/>
          <w:b/>
          <w:sz w:val="24"/>
          <w:szCs w:val="20"/>
          <w:u w:val="single" w:color="FFFFFF"/>
        </w:rPr>
        <w:t>14、其他约定</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u w:val="single" w:color="FFFFFF"/>
        </w:rPr>
      </w:pPr>
      <w:r>
        <w:rPr>
          <w:rFonts w:hint="eastAsia" w:ascii="宋体" w:hAnsi="宋体"/>
          <w:sz w:val="24"/>
          <w:szCs w:val="20"/>
          <w:u w:val="single" w:color="FFFFFF"/>
        </w:rPr>
        <w:t>14．1本采购项目的招标文件、中标人的投标文件以及相关的澄清确认函（如果有的话）均为本合同不可分割的一部分，与本合同具有同等法律效力。</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u w:val="single" w:color="FFFFFF"/>
        </w:rPr>
      </w:pPr>
      <w:r>
        <w:rPr>
          <w:rFonts w:hint="eastAsia" w:ascii="宋体" w:hAnsi="宋体"/>
          <w:sz w:val="24"/>
          <w:szCs w:val="20"/>
          <w:u w:val="single" w:color="FFFFFF"/>
        </w:rPr>
        <w:t>14．2本合同未尽事宜，双方另行补充。</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sz w:val="24"/>
          <w:szCs w:val="20"/>
        </w:rPr>
      </w:pPr>
      <w:r>
        <w:rPr>
          <w:rFonts w:hint="eastAsia" w:ascii="宋体" w:hAnsi="宋体"/>
          <w:sz w:val="24"/>
          <w:szCs w:val="20"/>
          <w:u w:val="single" w:color="FFFFFF"/>
        </w:rPr>
        <w:t>14．3本合同一式四份，经双方授权代表签字并盖章后生效。甲方、</w:t>
      </w:r>
      <w:r>
        <w:rPr>
          <w:rFonts w:hint="eastAsia" w:ascii="宋体" w:hAnsi="宋体"/>
          <w:sz w:val="24"/>
          <w:szCs w:val="20"/>
        </w:rPr>
        <w:t>乙方各执一份，招标代理机构一份，送主管部门备案一份，具有同等效力。</w:t>
      </w:r>
    </w:p>
    <w:p>
      <w:pPr>
        <w:keepNext w:val="0"/>
        <w:keepLines w:val="0"/>
        <w:pageBreakBefore w:val="0"/>
        <w:widowControl w:val="0"/>
        <w:kinsoku/>
        <w:wordWrap/>
        <w:overflowPunct/>
        <w:topLinePunct w:val="0"/>
        <w:bidi w:val="0"/>
        <w:snapToGrid/>
        <w:spacing w:line="440" w:lineRule="exact"/>
        <w:ind w:left="315" w:leftChars="150" w:firstLine="616" w:firstLineChars="257"/>
        <w:textAlignment w:val="auto"/>
        <w:rPr>
          <w:rFonts w:hint="eastAsia" w:ascii="宋体" w:hAnsi="宋体"/>
          <w:sz w:val="24"/>
          <w:szCs w:val="20"/>
          <w:u w:val="single"/>
        </w:rPr>
      </w:pPr>
      <w:r>
        <w:rPr>
          <w:rFonts w:hint="eastAsia" w:ascii="宋体" w:hAnsi="宋体"/>
          <w:sz w:val="24"/>
          <w:szCs w:val="20"/>
        </w:rPr>
        <w:t>见证单位：</w:t>
      </w:r>
      <w:r>
        <w:rPr>
          <w:rFonts w:hint="eastAsia" w:ascii="宋体" w:hAnsi="宋体"/>
          <w:sz w:val="24"/>
          <w:szCs w:val="20"/>
          <w:u w:val="single"/>
        </w:rPr>
        <w:t xml:space="preserve">                        </w:t>
      </w:r>
    </w:p>
    <w:p>
      <w:pPr>
        <w:keepNext w:val="0"/>
        <w:keepLines w:val="0"/>
        <w:pageBreakBefore w:val="0"/>
        <w:widowControl w:val="0"/>
        <w:kinsoku/>
        <w:wordWrap/>
        <w:overflowPunct/>
        <w:topLinePunct w:val="0"/>
        <w:bidi w:val="0"/>
        <w:snapToGrid/>
        <w:spacing w:line="440" w:lineRule="exact"/>
        <w:ind w:left="315" w:leftChars="150" w:firstLine="616" w:firstLineChars="257"/>
        <w:textAlignment w:val="auto"/>
        <w:rPr>
          <w:rFonts w:hint="eastAsia" w:ascii="宋体" w:hAnsi="宋体"/>
          <w:sz w:val="24"/>
          <w:szCs w:val="20"/>
        </w:rPr>
      </w:pPr>
      <w:r>
        <w:rPr>
          <w:rFonts w:hint="eastAsia" w:ascii="宋体" w:hAnsi="宋体"/>
          <w:sz w:val="24"/>
          <w:szCs w:val="20"/>
        </w:rPr>
        <w:t>见证日期：</w:t>
      </w:r>
      <w:r>
        <w:rPr>
          <w:rFonts w:hint="eastAsia" w:ascii="宋体" w:hAnsi="宋体"/>
          <w:sz w:val="24"/>
          <w:szCs w:val="20"/>
          <w:u w:val="single"/>
        </w:rPr>
        <w:t xml:space="preserve">                        </w:t>
      </w:r>
      <w:r>
        <w:rPr>
          <w:rFonts w:hint="eastAsia" w:ascii="宋体" w:hAnsi="宋体"/>
          <w:sz w:val="24"/>
          <w:szCs w:val="20"/>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sz w:val="24"/>
          <w:szCs w:val="20"/>
        </w:rPr>
      </w:pPr>
      <w:r>
        <w:rPr>
          <w:rFonts w:hint="eastAsia" w:ascii="宋体" w:hAnsi="宋体"/>
          <w:sz w:val="24"/>
          <w:szCs w:val="20"/>
        </w:rPr>
        <w:t>甲方：                                         乙方：</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sz w:val="24"/>
          <w:szCs w:val="20"/>
        </w:rPr>
      </w:pPr>
      <w:r>
        <w:rPr>
          <w:rFonts w:hint="eastAsia" w:ascii="宋体" w:hAnsi="宋体"/>
          <w:sz w:val="24"/>
          <w:szCs w:val="20"/>
        </w:rPr>
        <w:t>单位地址：                                     单位地址：</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sz w:val="24"/>
          <w:szCs w:val="20"/>
        </w:rPr>
      </w:pPr>
      <w:r>
        <w:rPr>
          <w:rFonts w:hint="eastAsia" w:ascii="宋体" w:hAnsi="宋体"/>
          <w:sz w:val="24"/>
          <w:szCs w:val="20"/>
        </w:rPr>
        <w:t>法定代表人：                                   法定代表人：</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sz w:val="24"/>
          <w:szCs w:val="20"/>
        </w:rPr>
      </w:pPr>
      <w:r>
        <w:rPr>
          <w:rFonts w:hint="eastAsia" w:ascii="宋体" w:hAnsi="宋体"/>
          <w:sz w:val="24"/>
          <w:szCs w:val="20"/>
        </w:rPr>
        <w:t xml:space="preserve">委托代理人：                                   委托代理人： </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sz w:val="24"/>
          <w:szCs w:val="20"/>
        </w:rPr>
      </w:pPr>
      <w:r>
        <w:rPr>
          <w:rFonts w:hint="eastAsia" w:ascii="宋体" w:hAnsi="宋体"/>
          <w:sz w:val="24"/>
          <w:szCs w:val="20"/>
        </w:rPr>
        <w:t>电话：                                         电话：</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sz w:val="24"/>
          <w:szCs w:val="20"/>
        </w:rPr>
      </w:pPr>
      <w:r>
        <w:rPr>
          <w:rFonts w:hint="eastAsia" w:ascii="宋体" w:hAnsi="宋体"/>
          <w:sz w:val="24"/>
          <w:szCs w:val="20"/>
        </w:rPr>
        <w:t>开户银行：                                     开户银行：</w:t>
      </w:r>
    </w:p>
    <w:p>
      <w:pPr>
        <w:keepNext w:val="0"/>
        <w:keepLines w:val="0"/>
        <w:pageBreakBefore w:val="0"/>
        <w:widowControl w:val="0"/>
        <w:kinsoku/>
        <w:wordWrap/>
        <w:overflowPunct/>
        <w:topLinePunct w:val="0"/>
        <w:autoSpaceDE w:val="0"/>
        <w:autoSpaceDN w:val="0"/>
        <w:bidi w:val="0"/>
        <w:adjustRightInd w:val="0"/>
        <w:snapToGrid/>
        <w:spacing w:line="440" w:lineRule="exact"/>
        <w:ind w:left="220" w:leftChars="105" w:firstLine="600" w:firstLineChars="250"/>
        <w:jc w:val="left"/>
        <w:textAlignment w:val="auto"/>
        <w:rPr>
          <w:rFonts w:hint="eastAsia" w:ascii="宋体" w:hAnsi="宋体"/>
          <w:kern w:val="0"/>
          <w:sz w:val="24"/>
          <w:szCs w:val="20"/>
          <w:lang w:val="zh-CN"/>
        </w:rPr>
      </w:pPr>
      <w:r>
        <w:rPr>
          <w:rFonts w:hint="eastAsia" w:ascii="宋体" w:hAnsi="宋体"/>
          <w:sz w:val="24"/>
          <w:szCs w:val="20"/>
        </w:rPr>
        <w:t>账号：                                         账号：</w:t>
      </w:r>
    </w:p>
    <w:p>
      <w:pPr>
        <w:ind w:firstLine="3839" w:firstLineChars="1195"/>
        <w:rPr>
          <w:rFonts w:hint="eastAsia"/>
          <w:b/>
          <w:sz w:val="32"/>
          <w:szCs w:val="32"/>
        </w:rPr>
      </w:pPr>
    </w:p>
    <w:p>
      <w:pPr>
        <w:jc w:val="center"/>
        <w:rPr>
          <w:rFonts w:hint="eastAsia"/>
          <w:b/>
          <w:sz w:val="32"/>
          <w:szCs w:val="32"/>
        </w:rPr>
      </w:pPr>
    </w:p>
    <w:p>
      <w:pPr>
        <w:jc w:val="center"/>
        <w:rPr>
          <w:rFonts w:hint="eastAsia"/>
          <w:b/>
          <w:sz w:val="32"/>
          <w:szCs w:val="32"/>
        </w:rPr>
      </w:pPr>
    </w:p>
    <w:p>
      <w:pPr>
        <w:pStyle w:val="15"/>
        <w:keepNext w:val="0"/>
        <w:keepLines w:val="0"/>
        <w:widowControl/>
        <w:suppressLineNumbers w:val="0"/>
        <w:spacing w:before="75" w:beforeAutospacing="0" w:after="75" w:afterAutospacing="0"/>
        <w:ind w:left="0" w:right="0" w:firstLine="0"/>
        <w:rPr>
          <w:color w:val="auto"/>
        </w:rPr>
      </w:pPr>
    </w:p>
    <w:p>
      <w:pPr>
        <w:spacing w:line="400" w:lineRule="exact"/>
        <w:ind w:left="315"/>
        <w:rPr>
          <w:rFonts w:ascii="宋体" w:hAnsi="宋体" w:cs="宋体"/>
          <w:color w:val="auto"/>
          <w:sz w:val="24"/>
        </w:rPr>
      </w:pPr>
      <w:r>
        <w:rPr>
          <w:rFonts w:ascii="宋体" w:hAnsi="宋体" w:cs="宋体"/>
          <w:color w:val="auto"/>
          <w:sz w:val="24"/>
        </w:rPr>
        <w:t xml:space="preserve">               </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400" w:lineRule="exact"/>
        <w:ind w:left="315"/>
        <w:jc w:val="center"/>
        <w:rPr>
          <w:rFonts w:ascii="宋体" w:cs="宋体"/>
          <w:color w:val="auto"/>
          <w:kern w:val="0"/>
          <w:sz w:val="24"/>
        </w:rPr>
      </w:pPr>
      <w:r>
        <w:rPr>
          <w:rFonts w:hint="eastAsia" w:ascii="宋体" w:hAnsi="宋体" w:cs="宋体"/>
          <w:b/>
          <w:bCs/>
          <w:color w:val="auto"/>
          <w:kern w:val="0"/>
          <w:sz w:val="32"/>
        </w:rPr>
        <w:t>第七章</w:t>
      </w:r>
      <w:r>
        <w:rPr>
          <w:rFonts w:ascii="宋体" w:cs="宋体"/>
          <w:b/>
          <w:bCs/>
          <w:color w:val="auto"/>
          <w:kern w:val="0"/>
          <w:sz w:val="32"/>
        </w:rPr>
        <w:t>   </w:t>
      </w:r>
      <w:r>
        <w:rPr>
          <w:rFonts w:hint="eastAsia" w:ascii="宋体" w:hAnsi="宋体" w:cs="宋体"/>
          <w:b/>
          <w:bCs/>
          <w:color w:val="auto"/>
          <w:kern w:val="0"/>
          <w:sz w:val="32"/>
        </w:rPr>
        <w:t>投标文件格式</w:t>
      </w:r>
    </w:p>
    <w:p>
      <w:pPr>
        <w:widowControl/>
        <w:spacing w:before="75" w:after="75"/>
        <w:jc w:val="center"/>
        <w:rPr>
          <w:rFonts w:ascii="宋体" w:cs="宋体"/>
          <w:color w:val="auto"/>
          <w:kern w:val="0"/>
          <w:sz w:val="24"/>
        </w:rPr>
      </w:pPr>
      <w:r>
        <w:rPr>
          <w:rFonts w:ascii="宋体" w:hAnsi="宋体" w:cs="宋体"/>
          <w:b/>
          <w:bCs/>
          <w:color w:val="auto"/>
          <w:kern w:val="0"/>
          <w:sz w:val="24"/>
        </w:rPr>
        <w:t xml:space="preserve"> </w:t>
      </w:r>
      <w:r>
        <w:rPr>
          <w:rFonts w:hint="eastAsia" w:ascii="宋体" w:hAnsi="宋体" w:cs="宋体"/>
          <w:b/>
          <w:bCs/>
          <w:color w:val="auto"/>
          <w:kern w:val="0"/>
          <w:sz w:val="24"/>
        </w:rPr>
        <w:t>编制说明</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、除招标文件另有规定外，本章中：</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1.1</w:t>
      </w:r>
      <w:r>
        <w:rPr>
          <w:rFonts w:hint="eastAsia" w:ascii="宋体" w:hAnsi="宋体" w:cs="宋体"/>
          <w:color w:val="auto"/>
          <w:kern w:val="0"/>
          <w:sz w:val="24"/>
        </w:rPr>
        <w:t>涉及投标人的</w:t>
      </w:r>
      <w:r>
        <w:rPr>
          <w:rFonts w:hint="eastAsia" w:ascii="宋体" w:hAnsi="宋体" w:cs="宋体"/>
          <w:b/>
          <w:bCs/>
          <w:color w:val="auto"/>
          <w:kern w:val="0"/>
          <w:sz w:val="24"/>
        </w:rPr>
        <w:t>“全称”</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）不接受联合体投标的，指</w:t>
      </w:r>
      <w:r>
        <w:rPr>
          <w:rFonts w:hint="eastAsia" w:ascii="宋体" w:hAnsi="宋体" w:cs="宋体"/>
          <w:b/>
          <w:bCs/>
          <w:color w:val="auto"/>
          <w:kern w:val="0"/>
          <w:sz w:val="24"/>
        </w:rPr>
        <w:t>投标人的全称</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）接受联合体投标且投标人为联合体的，指</w:t>
      </w:r>
      <w:r>
        <w:rPr>
          <w:rFonts w:hint="eastAsia" w:ascii="宋体" w:hAnsi="宋体" w:cs="宋体"/>
          <w:b/>
          <w:bCs/>
          <w:color w:val="auto"/>
          <w:kern w:val="0"/>
          <w:sz w:val="24"/>
        </w:rPr>
        <w:t>牵头方的全称</w:t>
      </w:r>
      <w:r>
        <w:rPr>
          <w:rFonts w:hint="eastAsia" w:ascii="宋体" w:hAnsi="宋体" w:cs="宋体"/>
          <w:color w:val="auto"/>
          <w:kern w:val="0"/>
          <w:sz w:val="24"/>
        </w:rPr>
        <w:t>并加注</w:t>
      </w:r>
      <w:r>
        <w:rPr>
          <w:rFonts w:hint="eastAsia" w:ascii="宋体" w:hAnsi="宋体" w:cs="宋体"/>
          <w:b/>
          <w:bCs/>
          <w:color w:val="auto"/>
          <w:kern w:val="0"/>
          <w:sz w:val="24"/>
        </w:rPr>
        <w:t>（联合体牵头方）</w:t>
      </w:r>
      <w:r>
        <w:rPr>
          <w:rFonts w:hint="eastAsia" w:ascii="宋体" w:hAnsi="宋体" w:cs="宋体"/>
          <w:color w:val="auto"/>
          <w:kern w:val="0"/>
          <w:sz w:val="24"/>
        </w:rPr>
        <w:t>，即应表述为：</w:t>
      </w:r>
      <w:r>
        <w:rPr>
          <w:rFonts w:hint="eastAsia" w:ascii="宋体" w:hAnsi="宋体" w:cs="宋体"/>
          <w:b/>
          <w:bCs/>
          <w:color w:val="auto"/>
          <w:kern w:val="0"/>
          <w:sz w:val="24"/>
        </w:rPr>
        <w:t>“牵头方的全称（联合体牵头方）”</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1.2</w:t>
      </w:r>
      <w:r>
        <w:rPr>
          <w:rFonts w:hint="eastAsia" w:ascii="宋体" w:hAnsi="宋体" w:cs="宋体"/>
          <w:color w:val="auto"/>
          <w:kern w:val="0"/>
          <w:sz w:val="24"/>
        </w:rPr>
        <w:t>涉及投标人</w:t>
      </w:r>
      <w:r>
        <w:rPr>
          <w:rFonts w:hint="eastAsia" w:ascii="宋体" w:hAnsi="宋体" w:cs="宋体"/>
          <w:b/>
          <w:bCs/>
          <w:color w:val="auto"/>
          <w:kern w:val="0"/>
          <w:sz w:val="24"/>
        </w:rPr>
        <w:t>“加盖单位公章”</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）不接受联合体投标的，指</w:t>
      </w:r>
      <w:r>
        <w:rPr>
          <w:rFonts w:hint="eastAsia" w:ascii="宋体" w:hAnsi="宋体" w:cs="宋体"/>
          <w:b/>
          <w:bCs/>
          <w:color w:val="auto"/>
          <w:kern w:val="0"/>
          <w:sz w:val="24"/>
        </w:rPr>
        <w:t>加盖投标人的单位公章</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）接受联合体投标且投标人为联合体的，指</w:t>
      </w:r>
      <w:r>
        <w:rPr>
          <w:rFonts w:hint="eastAsia" w:ascii="宋体" w:hAnsi="宋体" w:cs="宋体"/>
          <w:b/>
          <w:bCs/>
          <w:color w:val="auto"/>
          <w:kern w:val="0"/>
          <w:sz w:val="24"/>
        </w:rPr>
        <w:t>加盖联合体牵头方的单位公章</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1.3</w:t>
      </w:r>
      <w:r>
        <w:rPr>
          <w:rFonts w:hint="eastAsia" w:ascii="宋体" w:hAnsi="宋体" w:cs="宋体"/>
          <w:color w:val="auto"/>
          <w:kern w:val="0"/>
          <w:sz w:val="24"/>
        </w:rPr>
        <w:t>涉及</w:t>
      </w:r>
      <w:r>
        <w:rPr>
          <w:rFonts w:hint="eastAsia" w:ascii="宋体" w:hAnsi="宋体" w:cs="宋体"/>
          <w:b/>
          <w:bCs/>
          <w:color w:val="auto"/>
          <w:kern w:val="0"/>
          <w:sz w:val="24"/>
        </w:rPr>
        <w:t>“投标人代表签字”</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）不接受联合体投标的，指由</w:t>
      </w:r>
      <w:r>
        <w:rPr>
          <w:rFonts w:hint="eastAsia" w:ascii="宋体" w:hAnsi="宋体" w:cs="宋体"/>
          <w:b/>
          <w:bCs/>
          <w:color w:val="auto"/>
          <w:kern w:val="0"/>
          <w:sz w:val="24"/>
        </w:rPr>
        <w:t>投标人的法定代表人或其授权的委托代理人签字</w:t>
      </w:r>
      <w:r>
        <w:rPr>
          <w:rFonts w:hint="eastAsia" w:ascii="宋体" w:hAnsi="宋体" w:cs="宋体"/>
          <w:color w:val="auto"/>
          <w:kern w:val="0"/>
          <w:sz w:val="24"/>
        </w:rPr>
        <w:t>，由委托代理人签字的，应提供“法定代表授权书”。</w:t>
      </w:r>
    </w:p>
    <w:p>
      <w:pPr>
        <w:widowControl/>
        <w:spacing w:before="75" w:after="75" w:line="360" w:lineRule="exact"/>
        <w:ind w:firstLine="482"/>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）接受联合体投标且投标人为联合体的，指由</w:t>
      </w:r>
      <w:r>
        <w:rPr>
          <w:rFonts w:hint="eastAsia" w:ascii="宋体" w:hAnsi="宋体" w:cs="宋体"/>
          <w:b/>
          <w:bCs/>
          <w:color w:val="auto"/>
          <w:kern w:val="0"/>
          <w:sz w:val="24"/>
        </w:rPr>
        <w:t>联合体牵头方的单位法定代表人或其授权的委托代理人签字</w:t>
      </w:r>
      <w:r>
        <w:rPr>
          <w:rFonts w:hint="eastAsia" w:ascii="宋体" w:hAnsi="宋体" w:cs="宋体"/>
          <w:color w:val="auto"/>
          <w:kern w:val="0"/>
          <w:sz w:val="24"/>
        </w:rPr>
        <w:t>，由委托代理人签字的，应提供“单位法定代表人授权书”。</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、除招标文件另有规定外，本章中</w:t>
      </w:r>
      <w:r>
        <w:rPr>
          <w:rFonts w:hint="eastAsia" w:ascii="宋体" w:hAnsi="宋体" w:cs="宋体"/>
          <w:b/>
          <w:bCs/>
          <w:color w:val="auto"/>
          <w:kern w:val="0"/>
          <w:sz w:val="24"/>
        </w:rPr>
        <w:t>“投标人的资格及资信证明文件”</w:t>
      </w:r>
      <w:r>
        <w:rPr>
          <w:rFonts w:hint="eastAsia" w:ascii="宋体" w:hAnsi="宋体" w:cs="宋体"/>
          <w:color w:val="auto"/>
          <w:kern w:val="0"/>
          <w:sz w:val="24"/>
        </w:rPr>
        <w:t>：</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2.1</w:t>
      </w:r>
      <w:r>
        <w:rPr>
          <w:rFonts w:hint="eastAsia" w:ascii="宋体" w:hAnsi="宋体" w:cs="宋体"/>
          <w:color w:val="auto"/>
          <w:kern w:val="0"/>
          <w:sz w:val="24"/>
        </w:rPr>
        <w:t>投标人应按照招标文件第二章、第七章规定进行编制，如有必要，可增加附页，附页作为资格及资信文件的组成部分。</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2.2</w:t>
      </w:r>
      <w:r>
        <w:rPr>
          <w:rFonts w:hint="eastAsia" w:ascii="宋体" w:hAnsi="宋体" w:cs="宋体"/>
          <w:color w:val="auto"/>
          <w:kern w:val="0"/>
          <w:sz w:val="24"/>
        </w:rPr>
        <w:t>接受联合体投标且投标人为联合体的，联合体中的各方均应按照本章第</w:t>
      </w:r>
      <w:r>
        <w:rPr>
          <w:rFonts w:ascii="宋体" w:hAnsi="宋体" w:cs="宋体"/>
          <w:color w:val="auto"/>
          <w:kern w:val="0"/>
          <w:sz w:val="24"/>
        </w:rPr>
        <w:t>2.1</w:t>
      </w:r>
      <w:r>
        <w:rPr>
          <w:rFonts w:hint="eastAsia" w:ascii="宋体" w:hAnsi="宋体" w:cs="宋体"/>
          <w:color w:val="auto"/>
          <w:kern w:val="0"/>
          <w:sz w:val="24"/>
        </w:rPr>
        <w:t>点规定提交全部资料。</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、投标人对投标文件的索引应编制页码。</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、除本章“编制说明”第</w:t>
      </w:r>
      <w:r>
        <w:rPr>
          <w:rFonts w:ascii="宋体" w:hAnsi="宋体" w:cs="宋体"/>
          <w:color w:val="auto"/>
          <w:kern w:val="0"/>
          <w:sz w:val="24"/>
        </w:rPr>
        <w:t>5.1</w:t>
      </w:r>
      <w:r>
        <w:rPr>
          <w:rFonts w:hint="eastAsia" w:ascii="宋体" w:hAnsi="宋体" w:cs="宋体"/>
          <w:color w:val="auto"/>
          <w:kern w:val="0"/>
          <w:sz w:val="24"/>
        </w:rPr>
        <w:t>条规定情形外，若投标人提供注明“复印件无效”的证明材料或资料，其纸质投标文件正本中应提供原件。</w:t>
      </w:r>
    </w:p>
    <w:p>
      <w:pPr>
        <w:widowControl/>
        <w:spacing w:before="75" w:after="75" w:line="360" w:lineRule="exact"/>
        <w:ind w:firstLine="482"/>
        <w:jc w:val="left"/>
        <w:rPr>
          <w:rFonts w:ascii="宋体" w:cs="宋体"/>
          <w:color w:val="auto"/>
          <w:kern w:val="0"/>
          <w:sz w:val="24"/>
        </w:rPr>
      </w:pPr>
      <w:r>
        <w:rPr>
          <w:rFonts w:ascii="宋体" w:hAnsi="宋体" w:cs="宋体"/>
          <w:color w:val="auto"/>
          <w:kern w:val="0"/>
          <w:sz w:val="24"/>
        </w:rPr>
        <w:t>5.1</w:t>
      </w:r>
      <w:r>
        <w:rPr>
          <w:rFonts w:hint="eastAsia" w:ascii="宋体" w:hAnsi="宋体" w:cs="宋体"/>
          <w:color w:val="auto"/>
          <w:kern w:val="0"/>
          <w:sz w:val="24"/>
        </w:rPr>
        <w:t>有效期内的《检察机关行贿犯罪档案查询结果告知函》复印件，无论内容中是否注明“复印件无效”，均视同有效。</w:t>
      </w:r>
    </w:p>
    <w:p>
      <w:pPr>
        <w:widowControl/>
        <w:spacing w:before="75" w:after="75"/>
        <w:ind w:firstLine="480"/>
        <w:jc w:val="left"/>
        <w:rPr>
          <w:rFonts w:ascii="宋体" w:cs="宋体"/>
          <w:color w:val="auto"/>
          <w:kern w:val="0"/>
          <w:sz w:val="24"/>
        </w:rPr>
      </w:pPr>
      <w:r>
        <w:rPr>
          <w:rFonts w:ascii="宋体" w:cs="宋体"/>
          <w:color w:val="auto"/>
          <w:kern w:val="0"/>
          <w:sz w:val="24"/>
        </w:rPr>
        <w:t> </w:t>
      </w:r>
    </w:p>
    <w:p>
      <w:pPr>
        <w:pStyle w:val="27"/>
        <w:ind w:firstLine="31680"/>
        <w:rPr>
          <w:color w:val="auto"/>
        </w:rPr>
      </w:pPr>
    </w:p>
    <w:p>
      <w:pPr>
        <w:pStyle w:val="27"/>
        <w:ind w:firstLine="31680"/>
        <w:rPr>
          <w:color w:val="auto"/>
        </w:rPr>
      </w:pPr>
    </w:p>
    <w:p>
      <w:pPr>
        <w:pStyle w:val="27"/>
        <w:ind w:firstLine="31680"/>
        <w:rPr>
          <w:color w:val="auto"/>
        </w:rPr>
      </w:pPr>
    </w:p>
    <w:p>
      <w:pPr>
        <w:widowControl/>
        <w:spacing w:before="75" w:after="75"/>
        <w:ind w:firstLine="480"/>
        <w:jc w:val="left"/>
        <w:rPr>
          <w:rFonts w:ascii="宋体" w:cs="宋体"/>
          <w:color w:val="auto"/>
          <w:kern w:val="0"/>
          <w:sz w:val="24"/>
        </w:rPr>
      </w:pPr>
      <w:r>
        <w:rPr>
          <w:rFonts w:ascii="宋体" w:cs="宋体"/>
          <w:color w:val="auto"/>
          <w:kern w:val="0"/>
          <w:sz w:val="24"/>
        </w:rPr>
        <w:t> </w:t>
      </w:r>
      <w:r>
        <w:rPr>
          <w:rFonts w:hint="eastAsia" w:ascii="宋体" w:hAnsi="宋体" w:cs="宋体"/>
          <w:b/>
          <w:bCs/>
          <w:color w:val="auto"/>
          <w:kern w:val="0"/>
          <w:sz w:val="29"/>
        </w:rPr>
        <w:t>封面格式</w:t>
      </w:r>
    </w:p>
    <w:p>
      <w:pPr>
        <w:widowControl/>
        <w:spacing w:before="75" w:after="75"/>
        <w:jc w:val="left"/>
        <w:rPr>
          <w:rFonts w:ascii="宋体" w:cs="宋体"/>
          <w:color w:val="auto"/>
          <w:kern w:val="0"/>
          <w:sz w:val="24"/>
        </w:rPr>
      </w:pPr>
      <w:r>
        <w:rPr>
          <w:rFonts w:ascii="宋体" w:cs="宋体"/>
          <w:color w:val="auto"/>
          <w:kern w:val="0"/>
          <w:sz w:val="36"/>
          <w:szCs w:val="36"/>
        </w:rPr>
        <w:t> </w:t>
      </w:r>
    </w:p>
    <w:p>
      <w:pPr>
        <w:widowControl/>
        <w:spacing w:before="75" w:after="75" w:line="360" w:lineRule="auto"/>
        <w:jc w:val="center"/>
        <w:rPr>
          <w:rFonts w:ascii="宋体" w:cs="宋体"/>
          <w:color w:val="auto"/>
          <w:kern w:val="0"/>
          <w:sz w:val="52"/>
          <w:szCs w:val="52"/>
        </w:rPr>
      </w:pPr>
      <w:r>
        <w:rPr>
          <w:rFonts w:hint="eastAsia" w:ascii="宋体" w:hAnsi="宋体" w:cs="宋体"/>
          <w:b/>
          <w:bCs/>
          <w:color w:val="auto"/>
          <w:kern w:val="0"/>
          <w:sz w:val="52"/>
          <w:szCs w:val="52"/>
        </w:rPr>
        <w:t>投标文件</w:t>
      </w:r>
    </w:p>
    <w:p>
      <w:pPr>
        <w:widowControl/>
        <w:spacing w:before="75" w:after="75" w:line="360" w:lineRule="auto"/>
        <w:jc w:val="center"/>
        <w:rPr>
          <w:rFonts w:ascii="宋体" w:cs="宋体"/>
          <w:color w:val="auto"/>
          <w:kern w:val="0"/>
          <w:sz w:val="52"/>
          <w:szCs w:val="52"/>
        </w:rPr>
      </w:pPr>
      <w:r>
        <w:rPr>
          <w:rFonts w:hint="eastAsia" w:ascii="宋体" w:hAnsi="宋体" w:cs="宋体"/>
          <w:b/>
          <w:bCs/>
          <w:color w:val="auto"/>
          <w:kern w:val="0"/>
          <w:sz w:val="52"/>
          <w:szCs w:val="52"/>
        </w:rPr>
        <w:t>（资格及资信证明部分）</w:t>
      </w:r>
    </w:p>
    <w:p>
      <w:pPr>
        <w:widowControl/>
        <w:spacing w:before="75" w:after="75" w:line="360" w:lineRule="auto"/>
        <w:jc w:val="center"/>
        <w:rPr>
          <w:rFonts w:ascii="宋体" w:cs="宋体"/>
          <w:color w:val="auto"/>
          <w:kern w:val="0"/>
          <w:sz w:val="32"/>
          <w:szCs w:val="32"/>
        </w:rPr>
      </w:pPr>
      <w:r>
        <w:rPr>
          <w:rFonts w:hint="eastAsia" w:ascii="宋体" w:hAnsi="宋体" w:cs="宋体"/>
          <w:b/>
          <w:bCs/>
          <w:color w:val="auto"/>
          <w:kern w:val="0"/>
          <w:sz w:val="32"/>
          <w:szCs w:val="32"/>
        </w:rPr>
        <w:t>（填写正本或副本）</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line="360" w:lineRule="auto"/>
        <w:ind w:firstLine="1920"/>
        <w:jc w:val="left"/>
        <w:rPr>
          <w:rFonts w:ascii="宋体" w:cs="宋体"/>
          <w:color w:val="auto"/>
          <w:kern w:val="0"/>
          <w:sz w:val="32"/>
          <w:szCs w:val="32"/>
        </w:rPr>
      </w:pPr>
      <w:r>
        <w:rPr>
          <w:rFonts w:hint="eastAsia" w:ascii="宋体" w:hAnsi="宋体" w:cs="宋体"/>
          <w:b/>
          <w:bCs/>
          <w:color w:val="auto"/>
          <w:kern w:val="0"/>
          <w:sz w:val="32"/>
          <w:szCs w:val="32"/>
        </w:rPr>
        <w:t>项目名称：（由投标人填写）</w:t>
      </w:r>
    </w:p>
    <w:p>
      <w:pPr>
        <w:widowControl/>
        <w:spacing w:before="75" w:after="75" w:line="360" w:lineRule="auto"/>
        <w:ind w:firstLine="1920"/>
        <w:jc w:val="left"/>
        <w:rPr>
          <w:rFonts w:ascii="宋体" w:cs="宋体"/>
          <w:color w:val="auto"/>
          <w:kern w:val="0"/>
          <w:sz w:val="32"/>
          <w:szCs w:val="32"/>
        </w:rPr>
      </w:pPr>
      <w:r>
        <w:rPr>
          <w:rFonts w:hint="eastAsia" w:ascii="宋体" w:hAnsi="宋体" w:cs="宋体"/>
          <w:b/>
          <w:bCs/>
          <w:color w:val="auto"/>
          <w:kern w:val="0"/>
          <w:sz w:val="32"/>
          <w:szCs w:val="32"/>
        </w:rPr>
        <w:t>招标编号：（由投标人填写）</w:t>
      </w:r>
    </w:p>
    <w:p>
      <w:pPr>
        <w:widowControl/>
        <w:spacing w:before="75" w:after="75" w:line="360" w:lineRule="auto"/>
        <w:ind w:firstLine="1920"/>
        <w:jc w:val="left"/>
        <w:rPr>
          <w:rFonts w:ascii="宋体" w:cs="宋体"/>
          <w:color w:val="auto"/>
          <w:kern w:val="0"/>
          <w:sz w:val="32"/>
          <w:szCs w:val="32"/>
        </w:rPr>
      </w:pPr>
      <w:r>
        <w:rPr>
          <w:rFonts w:hint="eastAsia" w:ascii="宋体" w:hAnsi="宋体" w:cs="宋体"/>
          <w:b/>
          <w:bCs/>
          <w:color w:val="auto"/>
          <w:kern w:val="0"/>
          <w:sz w:val="32"/>
          <w:szCs w:val="32"/>
        </w:rPr>
        <w:t>所投合同包：（由投标人填写）</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line="360" w:lineRule="auto"/>
        <w:jc w:val="center"/>
        <w:rPr>
          <w:rFonts w:ascii="宋体" w:cs="宋体"/>
          <w:color w:val="auto"/>
          <w:kern w:val="0"/>
          <w:sz w:val="32"/>
          <w:szCs w:val="32"/>
        </w:rPr>
      </w:pPr>
      <w:r>
        <w:rPr>
          <w:rFonts w:hint="eastAsia" w:ascii="宋体" w:hAnsi="宋体" w:cs="宋体"/>
          <w:b/>
          <w:bCs/>
          <w:color w:val="auto"/>
          <w:kern w:val="0"/>
          <w:sz w:val="32"/>
          <w:szCs w:val="32"/>
        </w:rPr>
        <w:t>投标人：（填写“全称”）</w:t>
      </w:r>
    </w:p>
    <w:p>
      <w:pPr>
        <w:widowControl/>
        <w:spacing w:before="75" w:after="75" w:line="360" w:lineRule="auto"/>
        <w:jc w:val="center"/>
        <w:rPr>
          <w:rFonts w:ascii="宋体" w:cs="宋体"/>
          <w:color w:val="auto"/>
          <w:kern w:val="0"/>
          <w:sz w:val="32"/>
          <w:szCs w:val="32"/>
        </w:rPr>
      </w:pPr>
      <w:r>
        <w:rPr>
          <w:rFonts w:hint="eastAsia" w:ascii="宋体" w:hAnsi="宋体" w:cs="宋体"/>
          <w:b/>
          <w:bCs/>
          <w:color w:val="auto"/>
          <w:kern w:val="0"/>
          <w:sz w:val="32"/>
          <w:szCs w:val="32"/>
        </w:rPr>
        <w:t>（由投标人填写）年（由投标人填写）月</w:t>
      </w:r>
    </w:p>
    <w:p>
      <w:pPr>
        <w:widowControl/>
        <w:spacing w:before="75" w:after="75"/>
        <w:jc w:val="left"/>
        <w:rPr>
          <w:rFonts w:ascii="宋体" w:cs="宋体"/>
          <w:color w:val="auto"/>
          <w:kern w:val="0"/>
          <w:sz w:val="24"/>
        </w:rPr>
      </w:pPr>
      <w:r>
        <w:rPr>
          <w:rFonts w:ascii="宋体" w:cs="宋体"/>
          <w:color w:val="auto"/>
          <w:kern w:val="0"/>
          <w:szCs w:val="21"/>
        </w:rPr>
        <w:t> </w:t>
      </w:r>
    </w:p>
    <w:p>
      <w:pPr>
        <w:widowControl/>
        <w:spacing w:before="75" w:after="75"/>
        <w:jc w:val="left"/>
        <w:rPr>
          <w:rFonts w:ascii="宋体" w:cs="宋体"/>
          <w:color w:val="auto"/>
          <w:kern w:val="0"/>
          <w:szCs w:val="21"/>
        </w:rPr>
      </w:pPr>
      <w:r>
        <w:rPr>
          <w:rFonts w:ascii="宋体" w:cs="宋体"/>
          <w:color w:val="auto"/>
          <w:kern w:val="0"/>
          <w:szCs w:val="21"/>
        </w:rPr>
        <w:t> </w:t>
      </w: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center"/>
        <w:rPr>
          <w:rFonts w:ascii="宋体" w:cs="宋体"/>
          <w:color w:val="auto"/>
          <w:kern w:val="0"/>
          <w:sz w:val="30"/>
          <w:szCs w:val="30"/>
        </w:rPr>
      </w:pPr>
      <w:r>
        <w:rPr>
          <w:rFonts w:ascii="宋体" w:cs="宋体"/>
          <w:color w:val="auto"/>
          <w:kern w:val="0"/>
          <w:sz w:val="30"/>
          <w:szCs w:val="30"/>
        </w:rPr>
        <w:br w:type="textWrapping"/>
      </w:r>
      <w:r>
        <w:rPr>
          <w:rFonts w:hint="eastAsia" w:ascii="宋体" w:hAnsi="宋体" w:cs="宋体"/>
          <w:b/>
          <w:bCs/>
          <w:color w:val="auto"/>
          <w:kern w:val="0"/>
          <w:sz w:val="30"/>
          <w:szCs w:val="30"/>
        </w:rPr>
        <w:t>索</w:t>
      </w:r>
      <w:r>
        <w:rPr>
          <w:rFonts w:ascii="宋体" w:hAnsi="宋体" w:cs="宋体"/>
          <w:b/>
          <w:bCs/>
          <w:color w:val="auto"/>
          <w:kern w:val="0"/>
          <w:sz w:val="30"/>
          <w:szCs w:val="30"/>
        </w:rPr>
        <w:t xml:space="preserve"> </w:t>
      </w:r>
      <w:r>
        <w:rPr>
          <w:rFonts w:hint="eastAsia" w:ascii="宋体" w:hAnsi="宋体" w:cs="宋体"/>
          <w:b/>
          <w:bCs/>
          <w:color w:val="auto"/>
          <w:kern w:val="0"/>
          <w:sz w:val="30"/>
          <w:szCs w:val="30"/>
        </w:rPr>
        <w:t>引</w:t>
      </w:r>
    </w:p>
    <w:p>
      <w:pPr>
        <w:widowControl/>
        <w:spacing w:before="75" w:after="75" w:line="360" w:lineRule="auto"/>
        <w:jc w:val="left"/>
        <w:rPr>
          <w:rFonts w:ascii="宋体" w:cs="宋体"/>
          <w:color w:val="auto"/>
          <w:kern w:val="0"/>
          <w:sz w:val="24"/>
        </w:rPr>
      </w:pPr>
      <w:r>
        <w:rPr>
          <w:rFonts w:hint="eastAsia" w:ascii="宋体" w:hAnsi="宋体" w:cs="宋体"/>
          <w:color w:val="auto"/>
          <w:kern w:val="0"/>
          <w:sz w:val="29"/>
          <w:szCs w:val="29"/>
        </w:rPr>
        <w:t>一、投标函</w:t>
      </w:r>
    </w:p>
    <w:p>
      <w:pPr>
        <w:widowControl/>
        <w:spacing w:before="75" w:after="75" w:line="360" w:lineRule="auto"/>
        <w:jc w:val="left"/>
        <w:rPr>
          <w:rFonts w:ascii="宋体" w:cs="宋体"/>
          <w:color w:val="auto"/>
          <w:kern w:val="0"/>
          <w:sz w:val="24"/>
        </w:rPr>
      </w:pPr>
      <w:r>
        <w:rPr>
          <w:rFonts w:hint="eastAsia" w:ascii="宋体" w:hAnsi="宋体" w:cs="宋体"/>
          <w:color w:val="auto"/>
          <w:kern w:val="0"/>
          <w:sz w:val="29"/>
          <w:szCs w:val="29"/>
        </w:rPr>
        <w:t>二、投标人的资格及资信证明文件</w:t>
      </w:r>
    </w:p>
    <w:p>
      <w:pPr>
        <w:widowControl/>
        <w:spacing w:before="75" w:after="75" w:line="360" w:lineRule="auto"/>
        <w:jc w:val="left"/>
        <w:rPr>
          <w:rFonts w:ascii="宋体" w:cs="宋体"/>
          <w:color w:val="auto"/>
          <w:kern w:val="0"/>
          <w:sz w:val="24"/>
        </w:rPr>
      </w:pPr>
      <w:r>
        <w:rPr>
          <w:rFonts w:hint="eastAsia" w:ascii="宋体" w:hAnsi="宋体" w:cs="宋体"/>
          <w:color w:val="auto"/>
          <w:kern w:val="0"/>
          <w:sz w:val="29"/>
          <w:szCs w:val="29"/>
        </w:rPr>
        <w:t>三、投标保证金</w:t>
      </w:r>
    </w:p>
    <w:p>
      <w:pPr>
        <w:widowControl/>
        <w:spacing w:before="75" w:after="75"/>
        <w:jc w:val="left"/>
        <w:rPr>
          <w:rFonts w:ascii="宋体" w:cs="宋体"/>
          <w:color w:val="auto"/>
          <w:kern w:val="0"/>
          <w:sz w:val="24"/>
        </w:rPr>
      </w:pPr>
      <w:r>
        <w:rPr>
          <w:rFonts w:ascii="宋体" w:cs="宋体"/>
          <w:color w:val="auto"/>
          <w:kern w:val="0"/>
          <w:szCs w:val="21"/>
        </w:rPr>
        <w:t> </w:t>
      </w: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left"/>
        <w:rPr>
          <w:rFonts w:ascii="宋体" w:cs="宋体"/>
          <w:color w:val="auto"/>
          <w:kern w:val="0"/>
          <w:szCs w:val="21"/>
        </w:rPr>
      </w:pPr>
    </w:p>
    <w:p>
      <w:pPr>
        <w:widowControl/>
        <w:spacing w:before="75" w:after="75"/>
        <w:jc w:val="center"/>
        <w:rPr>
          <w:rFonts w:ascii="宋体" w:cs="宋体"/>
          <w:color w:val="auto"/>
          <w:kern w:val="0"/>
          <w:sz w:val="24"/>
        </w:rPr>
      </w:pPr>
      <w:r>
        <w:rPr>
          <w:rFonts w:hint="eastAsia" w:ascii="宋体" w:hAnsi="宋体" w:cs="宋体"/>
          <w:b/>
          <w:bCs/>
          <w:color w:val="auto"/>
          <w:kern w:val="0"/>
          <w:sz w:val="24"/>
        </w:rPr>
        <w:t>一、投标函</w:t>
      </w:r>
    </w:p>
    <w:p>
      <w:pPr>
        <w:widowControl/>
        <w:spacing w:before="100" w:beforeAutospacing="1" w:after="100" w:afterAutospacing="1"/>
        <w:rPr>
          <w:rFonts w:ascii="宋体" w:cs="宋体"/>
          <w:color w:val="auto"/>
          <w:kern w:val="0"/>
          <w:sz w:val="24"/>
        </w:rPr>
      </w:pPr>
      <w:r>
        <w:rPr>
          <w:rFonts w:hint="eastAsia" w:ascii="宋体" w:hAnsi="宋体" w:cs="宋体"/>
          <w:color w:val="auto"/>
          <w:kern w:val="0"/>
          <w:sz w:val="24"/>
        </w:rPr>
        <w:t>致：</w:t>
      </w:r>
      <w:r>
        <w:rPr>
          <w:rFonts w:ascii="宋体" w:cs="宋体"/>
          <w:color w:val="auto"/>
          <w:kern w:val="0"/>
          <w:sz w:val="24"/>
          <w:u w:val="single"/>
        </w:rPr>
        <w:t>          </w:t>
      </w:r>
      <w:r>
        <w:rPr>
          <w:rFonts w:hint="eastAsia" w:ascii="宋体" w:cs="宋体"/>
          <w:color w:val="auto"/>
          <w:kern w:val="0"/>
          <w:sz w:val="24"/>
          <w:u w:val="single"/>
          <w:lang w:val="en-US" w:eastAsia="zh-CN"/>
        </w:rPr>
        <w:t xml:space="preserve">                 </w:t>
      </w:r>
      <w:r>
        <w:rPr>
          <w:rFonts w:ascii="宋体" w:cs="宋体"/>
          <w:color w:val="auto"/>
          <w:kern w:val="0"/>
          <w:sz w:val="24"/>
          <w:u w:val="single"/>
        </w:rPr>
        <w:t> </w:t>
      </w:r>
      <w:r>
        <w:rPr>
          <w:rFonts w:ascii="宋体" w:cs="宋体"/>
          <w:color w:val="auto"/>
          <w:kern w:val="0"/>
          <w:sz w:val="24"/>
        </w:rPr>
        <w:t>                     </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兹收到贵单位关于（填写“项目名称”）项目（招标编号：</w:t>
      </w:r>
      <w:r>
        <w:rPr>
          <w:rFonts w:ascii="宋体" w:hAnsi="宋体" w:cs="宋体"/>
          <w:color w:val="auto"/>
          <w:kern w:val="0"/>
          <w:sz w:val="24"/>
        </w:rPr>
        <w:t>_______</w:t>
      </w:r>
      <w:r>
        <w:rPr>
          <w:rFonts w:hint="eastAsia" w:ascii="宋体" w:hAnsi="宋体" w:cs="宋体"/>
          <w:color w:val="auto"/>
          <w:kern w:val="0"/>
          <w:sz w:val="24"/>
        </w:rPr>
        <w:t>）的投标邀请，本投标人代表（填写“全名”）已获得我方正式授权并代表投标人（填写“全称”）参加投标，并提交招标文件规定份数的投标文件正本和副本。我方提交的全部投标文件均由下述部分组成：</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）资格及资信证明部分</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①投标函</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②投标人的资格及资信证明文件</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③投标保证金</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）报价部分</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①开标一览表</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②投标分项报价表</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③招标文件规定的价格扣除证明材料（若有）</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④招标文件规定的加分证明材料（若有）</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）技术商务部分</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①标的说明一览表</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②技术和服务要求响应表</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③商务条件响应表</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④投标人提交的其他资料（若有）</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根据本函，本投标人代表宣布我方保证遵守招标文件的全部规定，同时：</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w:t>
      </w:r>
      <w:r>
        <w:rPr>
          <w:rFonts w:hint="eastAsia" w:ascii="宋体" w:hAnsi="宋体" w:cs="宋体"/>
          <w:b/>
          <w:bCs/>
          <w:color w:val="auto"/>
          <w:kern w:val="0"/>
          <w:sz w:val="24"/>
        </w:rPr>
        <w:t>确认：</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1.1</w:t>
      </w:r>
      <w:r>
        <w:rPr>
          <w:rFonts w:hint="eastAsia" w:ascii="宋体" w:hAnsi="宋体" w:cs="宋体"/>
          <w:color w:val="auto"/>
          <w:kern w:val="0"/>
          <w:sz w:val="24"/>
        </w:rPr>
        <w:t>所投合同包的投标报价详见“开标一览表”及“投标分项报价表”。</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1.2</w:t>
      </w:r>
      <w:r>
        <w:rPr>
          <w:rFonts w:hint="eastAsia" w:ascii="宋体" w:hAnsi="宋体" w:cs="宋体"/>
          <w:color w:val="auto"/>
          <w:kern w:val="0"/>
          <w:sz w:val="24"/>
        </w:rPr>
        <w:t>我方已详细审查全部招标文件</w:t>
      </w:r>
      <w:r>
        <w:rPr>
          <w:rFonts w:ascii="宋体" w:hAnsi="宋体" w:cs="宋体"/>
          <w:color w:val="auto"/>
          <w:kern w:val="0"/>
          <w:sz w:val="24"/>
        </w:rPr>
        <w:t>[</w:t>
      </w:r>
      <w:r>
        <w:rPr>
          <w:rFonts w:hint="eastAsia" w:ascii="宋体" w:hAnsi="宋体" w:cs="宋体"/>
          <w:color w:val="auto"/>
          <w:kern w:val="0"/>
          <w:sz w:val="24"/>
        </w:rPr>
        <w:t>包括但不限于：有关附件（若有）、澄清或修改（若有）等</w:t>
      </w:r>
      <w:r>
        <w:rPr>
          <w:rFonts w:ascii="宋体" w:hAnsi="宋体" w:cs="宋体"/>
          <w:color w:val="auto"/>
          <w:kern w:val="0"/>
          <w:sz w:val="24"/>
        </w:rPr>
        <w:t>]</w:t>
      </w:r>
      <w:r>
        <w:rPr>
          <w:rFonts w:hint="eastAsia" w:ascii="宋体" w:hAnsi="宋体" w:cs="宋体"/>
          <w:color w:val="auto"/>
          <w:kern w:val="0"/>
          <w:sz w:val="24"/>
        </w:rPr>
        <w:t>，并自行承担因对全部招标文件理解不正确或误解而产生的相应后果和责任。</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w:t>
      </w:r>
      <w:r>
        <w:rPr>
          <w:rFonts w:hint="eastAsia" w:ascii="宋体" w:hAnsi="宋体" w:cs="宋体"/>
          <w:b/>
          <w:bCs/>
          <w:color w:val="auto"/>
          <w:kern w:val="0"/>
          <w:sz w:val="24"/>
        </w:rPr>
        <w:t>承诺及声明：</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2.1</w:t>
      </w:r>
      <w:r>
        <w:rPr>
          <w:rFonts w:hint="eastAsia" w:ascii="宋体" w:hAnsi="宋体" w:cs="宋体"/>
          <w:color w:val="auto"/>
          <w:kern w:val="0"/>
          <w:sz w:val="24"/>
        </w:rPr>
        <w:t>我方具备招标文件第二章载明的“投标人的资格要求”且符合招标文件第三章载明的“二、投标人”之规定，否则</w:t>
      </w:r>
      <w:r>
        <w:rPr>
          <w:rFonts w:hint="eastAsia" w:ascii="宋体" w:hAnsi="宋体" w:cs="宋体"/>
          <w:b/>
          <w:bCs/>
          <w:color w:val="auto"/>
          <w:kern w:val="0"/>
          <w:sz w:val="24"/>
        </w:rPr>
        <w:t>投标无效。</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2.2</w:t>
      </w:r>
      <w:r>
        <w:rPr>
          <w:rFonts w:hint="eastAsia" w:ascii="宋体" w:hAnsi="宋体" w:cs="宋体"/>
          <w:color w:val="auto"/>
          <w:kern w:val="0"/>
          <w:sz w:val="24"/>
        </w:rPr>
        <w:t>我方提交的投标文件各组成部分的全部内容及资料是不可割离且真实、有效、准确、完整和不具有任何误导性的，否则产生不利后果由我方承担责任。</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2.3</w:t>
      </w:r>
      <w:r>
        <w:rPr>
          <w:rFonts w:hint="eastAsia" w:ascii="宋体" w:hAnsi="宋体" w:cs="宋体"/>
          <w:color w:val="auto"/>
          <w:kern w:val="0"/>
          <w:sz w:val="24"/>
        </w:rPr>
        <w:t>我方提供的标的价格不高于同期市场价格，否则产生不利后果由我方承担责任。</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2.4</w:t>
      </w:r>
      <w:r>
        <w:rPr>
          <w:rFonts w:hint="eastAsia" w:ascii="宋体" w:hAnsi="宋体" w:cs="宋体"/>
          <w:color w:val="auto"/>
          <w:kern w:val="0"/>
          <w:sz w:val="24"/>
        </w:rPr>
        <w:t>投标保证金：若出现招标文件第三章规定的不予退还情形，同意贵单位不予退还。</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2.5</w:t>
      </w:r>
      <w:r>
        <w:rPr>
          <w:rFonts w:hint="eastAsia" w:ascii="宋体" w:hAnsi="宋体" w:cs="宋体"/>
          <w:color w:val="auto"/>
          <w:kern w:val="0"/>
          <w:sz w:val="24"/>
        </w:rPr>
        <w:t>投标有效期：按照招标文件第三章规定执行，并在招标文件第二章载明的期限内保持有效。</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2.6</w:t>
      </w:r>
      <w:r>
        <w:rPr>
          <w:rFonts w:hint="eastAsia" w:ascii="宋体" w:hAnsi="宋体" w:cs="宋体"/>
          <w:color w:val="auto"/>
          <w:kern w:val="0"/>
          <w:sz w:val="24"/>
        </w:rPr>
        <w:t>若中标，将按照招标文件、我方投标文件及政府采购合同履行责任和义务。</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2.7</w:t>
      </w:r>
      <w:r>
        <w:rPr>
          <w:rFonts w:hint="eastAsia" w:ascii="宋体" w:hAnsi="宋体" w:cs="宋体"/>
          <w:color w:val="auto"/>
          <w:kern w:val="0"/>
          <w:sz w:val="24"/>
        </w:rPr>
        <w:t>若贵单位要求，我方同意提供与本项目投标有关的一切资料、数据或文件，并完全理解贵单位不一定要接受最低的投标报价或收到的任何投标。</w:t>
      </w:r>
    </w:p>
    <w:p>
      <w:pPr>
        <w:widowControl/>
        <w:spacing w:before="75" w:after="75" w:line="360" w:lineRule="exact"/>
        <w:ind w:firstLine="420"/>
        <w:jc w:val="left"/>
        <w:rPr>
          <w:rFonts w:ascii="宋体" w:cs="宋体"/>
          <w:color w:val="auto"/>
          <w:kern w:val="0"/>
          <w:sz w:val="24"/>
        </w:rPr>
      </w:pPr>
      <w:r>
        <w:rPr>
          <w:rFonts w:ascii="宋体" w:hAnsi="宋体" w:cs="宋体"/>
          <w:color w:val="auto"/>
          <w:kern w:val="0"/>
          <w:sz w:val="24"/>
        </w:rPr>
        <w:t>2.8</w:t>
      </w:r>
      <w:r>
        <w:rPr>
          <w:rFonts w:hint="eastAsia" w:ascii="宋体" w:hAnsi="宋体" w:cs="宋体"/>
          <w:color w:val="auto"/>
          <w:kern w:val="0"/>
          <w:sz w:val="24"/>
        </w:rPr>
        <w:t>除招标文件另有规定外，对于贵单位按照下述联络方式发出的任何信息或通知，均视为我方已收悉前述信息或通知的全部内容：</w:t>
      </w:r>
    </w:p>
    <w:p>
      <w:pPr>
        <w:widowControl/>
        <w:spacing w:before="75" w:after="75" w:line="360" w:lineRule="exact"/>
        <w:ind w:firstLine="420"/>
        <w:jc w:val="left"/>
        <w:rPr>
          <w:rFonts w:ascii="宋体" w:cs="宋体"/>
          <w:color w:val="auto"/>
          <w:kern w:val="0"/>
          <w:sz w:val="24"/>
        </w:rPr>
      </w:pPr>
    </w:p>
    <w:p>
      <w:pPr>
        <w:widowControl/>
        <w:spacing w:before="75" w:after="75" w:line="360" w:lineRule="exact"/>
        <w:jc w:val="left"/>
        <w:rPr>
          <w:rFonts w:ascii="宋体" w:cs="宋体"/>
          <w:color w:val="auto"/>
          <w:kern w:val="0"/>
          <w:sz w:val="24"/>
        </w:rPr>
      </w:pPr>
      <w:r>
        <w:rPr>
          <w:rFonts w:hint="eastAsia" w:ascii="宋体" w:hAnsi="宋体" w:cs="宋体"/>
          <w:color w:val="auto"/>
          <w:kern w:val="0"/>
          <w:sz w:val="24"/>
        </w:rPr>
        <w:t>通信地址：</w:t>
      </w:r>
      <w:r>
        <w:rPr>
          <w:rFonts w:ascii="宋体" w:cs="宋体"/>
          <w:color w:val="auto"/>
          <w:kern w:val="0"/>
          <w:sz w:val="24"/>
        </w:rPr>
        <w:t>               </w:t>
      </w:r>
    </w:p>
    <w:p>
      <w:pPr>
        <w:widowControl/>
        <w:spacing w:before="75" w:after="75" w:line="360" w:lineRule="exact"/>
        <w:jc w:val="left"/>
        <w:rPr>
          <w:rFonts w:ascii="宋体" w:cs="宋体"/>
          <w:color w:val="auto"/>
          <w:kern w:val="0"/>
          <w:sz w:val="24"/>
        </w:rPr>
      </w:pPr>
      <w:r>
        <w:rPr>
          <w:rFonts w:hint="eastAsia" w:ascii="宋体" w:hAnsi="宋体" w:cs="宋体"/>
          <w:color w:val="auto"/>
          <w:kern w:val="0"/>
          <w:sz w:val="24"/>
        </w:rPr>
        <w:t>邮编：</w:t>
      </w:r>
      <w:r>
        <w:rPr>
          <w:rFonts w:ascii="宋体" w:cs="宋体"/>
          <w:color w:val="auto"/>
          <w:kern w:val="0"/>
          <w:sz w:val="24"/>
        </w:rPr>
        <w:t>                 </w:t>
      </w:r>
    </w:p>
    <w:p>
      <w:pPr>
        <w:widowControl/>
        <w:spacing w:before="75" w:after="75" w:line="360" w:lineRule="exact"/>
        <w:jc w:val="left"/>
        <w:rPr>
          <w:rFonts w:ascii="宋体" w:cs="宋体"/>
          <w:color w:val="auto"/>
          <w:kern w:val="0"/>
          <w:sz w:val="24"/>
        </w:rPr>
      </w:pPr>
      <w:r>
        <w:rPr>
          <w:rFonts w:hint="eastAsia" w:ascii="宋体" w:hAnsi="宋体" w:cs="宋体"/>
          <w:color w:val="auto"/>
          <w:kern w:val="0"/>
          <w:sz w:val="24"/>
        </w:rPr>
        <w:t>联系方法：（包括但不限于：联系人、联系电话、手机、传真、电子邮箱等）</w:t>
      </w:r>
    </w:p>
    <w:p>
      <w:pPr>
        <w:widowControl/>
        <w:spacing w:before="75" w:after="75"/>
        <w:jc w:val="left"/>
        <w:rPr>
          <w:rFonts w:ascii="宋体" w:cs="宋体"/>
          <w:color w:val="auto"/>
          <w:kern w:val="0"/>
          <w:sz w:val="24"/>
        </w:rPr>
      </w:pPr>
      <w:r>
        <w:rPr>
          <w:rFonts w:hint="eastAsia" w:ascii="宋体" w:hAnsi="宋体" w:cs="宋体"/>
          <w:color w:val="auto"/>
          <w:kern w:val="0"/>
          <w:sz w:val="24"/>
        </w:rPr>
        <w:t>投标人：（全称并加盖单位公章）</w:t>
      </w:r>
    </w:p>
    <w:p>
      <w:pPr>
        <w:widowControl/>
        <w:spacing w:before="75" w:after="75"/>
        <w:jc w:val="left"/>
        <w:rPr>
          <w:rFonts w:ascii="宋体" w:cs="宋体"/>
          <w:color w:val="auto"/>
          <w:kern w:val="0"/>
          <w:sz w:val="24"/>
        </w:rPr>
      </w:pPr>
      <w:r>
        <w:rPr>
          <w:rFonts w:hint="eastAsia" w:ascii="宋体" w:hAnsi="宋体" w:cs="宋体"/>
          <w:color w:val="auto"/>
          <w:kern w:val="0"/>
          <w:sz w:val="24"/>
        </w:rPr>
        <w:t>投标人代表签字：</w:t>
      </w: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日期：</w:t>
      </w:r>
      <w:r>
        <w:rPr>
          <w:rFonts w:ascii="宋体" w:cs="宋体"/>
          <w:color w:val="auto"/>
          <w:kern w:val="0"/>
          <w:sz w:val="24"/>
        </w:rPr>
        <w:t>    </w:t>
      </w:r>
      <w:r>
        <w:rPr>
          <w:rFonts w:hint="eastAsia" w:ascii="宋体" w:hAnsi="宋体" w:cs="宋体"/>
          <w:color w:val="auto"/>
          <w:kern w:val="0"/>
          <w:sz w:val="24"/>
        </w:rPr>
        <w:t>年</w:t>
      </w:r>
      <w:r>
        <w:rPr>
          <w:rFonts w:ascii="宋体" w:cs="宋体"/>
          <w:color w:val="auto"/>
          <w:kern w:val="0"/>
          <w:sz w:val="24"/>
        </w:rPr>
        <w:t>   </w:t>
      </w:r>
      <w:r>
        <w:rPr>
          <w:rFonts w:hint="eastAsia" w:ascii="宋体" w:hAnsi="宋体" w:cs="宋体"/>
          <w:color w:val="auto"/>
          <w:kern w:val="0"/>
          <w:sz w:val="24"/>
        </w:rPr>
        <w:t>月</w:t>
      </w:r>
      <w:r>
        <w:rPr>
          <w:rFonts w:ascii="宋体" w:cs="宋体"/>
          <w:color w:val="auto"/>
          <w:kern w:val="0"/>
          <w:sz w:val="24"/>
        </w:rPr>
        <w:t>   </w:t>
      </w:r>
      <w:r>
        <w:rPr>
          <w:rFonts w:hint="eastAsia" w:ascii="宋体" w:hAnsi="宋体" w:cs="宋体"/>
          <w:color w:val="auto"/>
          <w:kern w:val="0"/>
          <w:sz w:val="24"/>
        </w:rPr>
        <w:t>日</w:t>
      </w:r>
    </w:p>
    <w:p>
      <w:pPr>
        <w:widowControl/>
        <w:spacing w:before="75" w:after="75"/>
        <w:jc w:val="center"/>
        <w:rPr>
          <w:rFonts w:ascii="宋体" w:cs="宋体"/>
          <w:color w:val="auto"/>
          <w:kern w:val="0"/>
          <w:sz w:val="24"/>
        </w:rPr>
      </w:pPr>
      <w:r>
        <w:rPr>
          <w:rFonts w:ascii="宋体" w:cs="宋体"/>
          <w:color w:val="auto"/>
          <w:kern w:val="0"/>
          <w:sz w:val="24"/>
        </w:rPr>
        <w:br w:type="textWrapping"/>
      </w: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pStyle w:val="27"/>
        <w:ind w:firstLine="31680"/>
        <w:rPr>
          <w:color w:val="auto"/>
        </w:rPr>
      </w:pPr>
    </w:p>
    <w:p>
      <w:pPr>
        <w:widowControl/>
        <w:spacing w:before="75" w:after="75"/>
        <w:rPr>
          <w:rFonts w:ascii="宋体" w:cs="宋体"/>
          <w:color w:val="auto"/>
          <w:kern w:val="0"/>
          <w:sz w:val="24"/>
        </w:rPr>
      </w:pPr>
    </w:p>
    <w:p>
      <w:pPr>
        <w:widowControl/>
        <w:spacing w:before="75" w:after="75"/>
        <w:jc w:val="center"/>
        <w:rPr>
          <w:rFonts w:ascii="宋体" w:cs="宋体"/>
          <w:color w:val="auto"/>
          <w:kern w:val="0"/>
          <w:sz w:val="24"/>
        </w:rPr>
      </w:pPr>
      <w:r>
        <w:rPr>
          <w:rFonts w:hint="eastAsia" w:ascii="宋体" w:hAnsi="宋体" w:cs="宋体"/>
          <w:b/>
          <w:bCs/>
          <w:color w:val="auto"/>
          <w:kern w:val="0"/>
          <w:sz w:val="24"/>
        </w:rPr>
        <w:t>二、投标人的资格及资信证明文件</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24"/>
        </w:rPr>
      </w:pPr>
      <w:r>
        <w:rPr>
          <w:rFonts w:hint="eastAsia" w:ascii="宋体" w:hAnsi="宋体" w:cs="宋体"/>
          <w:b/>
          <w:bCs/>
          <w:color w:val="auto"/>
          <w:kern w:val="0"/>
          <w:sz w:val="24"/>
        </w:rPr>
        <w:t>二</w:t>
      </w:r>
      <w:r>
        <w:rPr>
          <w:rFonts w:ascii="宋体" w:hAnsi="宋体" w:cs="宋体"/>
          <w:b/>
          <w:bCs/>
          <w:color w:val="auto"/>
          <w:kern w:val="0"/>
          <w:sz w:val="24"/>
        </w:rPr>
        <w:t>-1</w:t>
      </w:r>
      <w:r>
        <w:rPr>
          <w:rFonts w:hint="eastAsia" w:ascii="宋体" w:hAnsi="宋体" w:cs="宋体"/>
          <w:b/>
          <w:bCs/>
          <w:color w:val="auto"/>
          <w:kern w:val="0"/>
          <w:sz w:val="24"/>
        </w:rPr>
        <w:t>单位法定代表人授权书</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100" w:beforeAutospacing="1" w:after="100" w:afterAutospacing="1"/>
        <w:rPr>
          <w:rFonts w:ascii="宋体" w:cs="宋体"/>
          <w:color w:val="auto"/>
          <w:kern w:val="0"/>
          <w:sz w:val="24"/>
        </w:rPr>
      </w:pPr>
      <w:r>
        <w:rPr>
          <w:rFonts w:hint="eastAsia" w:ascii="宋体" w:hAnsi="宋体" w:cs="宋体"/>
          <w:color w:val="auto"/>
          <w:kern w:val="0"/>
          <w:sz w:val="24"/>
        </w:rPr>
        <w:t>致：</w:t>
      </w:r>
      <w:r>
        <w:rPr>
          <w:rFonts w:ascii="宋体" w:cs="宋体"/>
          <w:color w:val="auto"/>
          <w:kern w:val="0"/>
          <w:sz w:val="24"/>
          <w:u w:val="single"/>
        </w:rPr>
        <w:t>           </w:t>
      </w:r>
      <w:r>
        <w:rPr>
          <w:rFonts w:hint="eastAsia" w:ascii="宋体" w:cs="宋体"/>
          <w:color w:val="auto"/>
          <w:kern w:val="0"/>
          <w:sz w:val="24"/>
          <w:u w:val="single"/>
          <w:lang w:val="en-US" w:eastAsia="zh-CN"/>
        </w:rPr>
        <w:t xml:space="preserve">             </w:t>
      </w:r>
      <w:r>
        <w:rPr>
          <w:rFonts w:ascii="宋体" w:cs="宋体"/>
          <w:color w:val="auto"/>
          <w:kern w:val="0"/>
          <w:sz w:val="24"/>
        </w:rPr>
        <w:t>                    </w:t>
      </w:r>
    </w:p>
    <w:p>
      <w:pPr>
        <w:widowControl/>
        <w:spacing w:before="75" w:after="75" w:line="400" w:lineRule="exact"/>
        <w:ind w:firstLine="420"/>
        <w:jc w:val="left"/>
        <w:rPr>
          <w:rFonts w:ascii="宋体" w:cs="宋体"/>
          <w:color w:val="auto"/>
          <w:kern w:val="0"/>
          <w:sz w:val="24"/>
        </w:rPr>
      </w:pPr>
      <w:r>
        <w:rPr>
          <w:rFonts w:hint="eastAsia" w:ascii="宋体" w:hAnsi="宋体" w:cs="宋体"/>
          <w:color w:val="auto"/>
          <w:kern w:val="0"/>
          <w:sz w:val="24"/>
        </w:rPr>
        <w:t>我方的单位法定代表人（填写“单位负责人全名”）授权（填写“投标人代表全名”）为投标人代表，代表我方参加（填写“项目名称”）项目（招标编号：</w:t>
      </w:r>
      <w:r>
        <w:rPr>
          <w:rFonts w:ascii="宋体" w:hAnsi="宋体" w:cs="宋体"/>
          <w:color w:val="auto"/>
          <w:kern w:val="0"/>
          <w:sz w:val="24"/>
        </w:rPr>
        <w:t>___________</w:t>
      </w:r>
      <w:r>
        <w:rPr>
          <w:rFonts w:hint="eastAsia" w:ascii="宋体" w:hAnsi="宋体" w:cs="宋体"/>
          <w:color w:val="auto"/>
          <w:kern w:val="0"/>
          <w:sz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before="75" w:after="75"/>
        <w:ind w:firstLine="420"/>
        <w:jc w:val="left"/>
        <w:rPr>
          <w:rFonts w:ascii="宋体" w:cs="宋体"/>
          <w:color w:val="auto"/>
          <w:kern w:val="0"/>
          <w:sz w:val="24"/>
        </w:rPr>
      </w:pPr>
      <w:r>
        <w:rPr>
          <w:rFonts w:hint="eastAsia" w:ascii="宋体" w:hAnsi="宋体" w:cs="宋体"/>
          <w:color w:val="auto"/>
          <w:kern w:val="0"/>
          <w:sz w:val="24"/>
        </w:rPr>
        <w:t>投标人代表无转委权。特此授权。</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单位法定代表人：</w:t>
      </w: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身份证号：</w:t>
      </w:r>
      <w:r>
        <w:rPr>
          <w:rFonts w:ascii="宋体" w:cs="宋体"/>
          <w:color w:val="auto"/>
          <w:kern w:val="0"/>
          <w:sz w:val="24"/>
        </w:rPr>
        <w:t>                </w:t>
      </w:r>
    </w:p>
    <w:p>
      <w:pPr>
        <w:widowControl/>
        <w:spacing w:before="75" w:after="75"/>
        <w:jc w:val="left"/>
        <w:rPr>
          <w:rFonts w:ascii="宋体" w:hAnsi="宋体" w:cs="宋体"/>
          <w:color w:val="auto"/>
          <w:kern w:val="0"/>
          <w:sz w:val="24"/>
        </w:rPr>
      </w:pPr>
      <w:r>
        <w:rPr>
          <w:rFonts w:hint="eastAsia" w:ascii="宋体" w:hAnsi="宋体" w:cs="宋体"/>
          <w:color w:val="auto"/>
          <w:kern w:val="0"/>
          <w:sz w:val="24"/>
        </w:rPr>
        <w:t>手机：</w:t>
      </w:r>
      <w:r>
        <w:rPr>
          <w:rFonts w:ascii="宋体" w:cs="宋体"/>
          <w:color w:val="auto"/>
          <w:kern w:val="0"/>
          <w:sz w:val="24"/>
        </w:rPr>
        <w:t>              </w:t>
      </w:r>
      <w:r>
        <w:rPr>
          <w:rFonts w:ascii="宋体" w:hAnsi="宋体" w:cs="宋体"/>
          <w:color w:val="auto"/>
          <w:kern w:val="0"/>
          <w:sz w:val="24"/>
        </w:rPr>
        <w:t xml:space="preserve"> </w:t>
      </w:r>
    </w:p>
    <w:p>
      <w:pPr>
        <w:widowControl/>
        <w:spacing w:before="75" w:after="75"/>
        <w:jc w:val="left"/>
        <w:rPr>
          <w:rFonts w:ascii="宋体" w:cs="宋体"/>
          <w:color w:val="auto"/>
          <w:kern w:val="0"/>
          <w:sz w:val="24"/>
        </w:rPr>
      </w:pPr>
      <w:r>
        <w:rPr>
          <w:rFonts w:hint="eastAsia" w:ascii="宋体" w:hAnsi="宋体" w:cs="宋体"/>
          <w:color w:val="auto"/>
          <w:kern w:val="0"/>
          <w:sz w:val="24"/>
        </w:rPr>
        <w:t>投标人代表：</w:t>
      </w: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身份证号：</w:t>
      </w: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手机：</w:t>
      </w:r>
      <w:r>
        <w:rPr>
          <w:rFonts w:ascii="宋体" w:cs="宋体"/>
          <w:color w:val="auto"/>
          <w:kern w:val="0"/>
          <w:sz w:val="24"/>
        </w:rPr>
        <w:t>              </w:t>
      </w:r>
    </w:p>
    <w:p>
      <w:pPr>
        <w:widowControl/>
        <w:spacing w:before="75" w:after="75"/>
        <w:jc w:val="left"/>
        <w:rPr>
          <w:rFonts w:ascii="宋体" w:cs="宋体"/>
          <w:color w:val="auto"/>
          <w:kern w:val="0"/>
          <w:sz w:val="24"/>
        </w:rPr>
      </w:pPr>
    </w:p>
    <w:p>
      <w:pPr>
        <w:widowControl/>
        <w:spacing w:before="75" w:after="75"/>
        <w:jc w:val="left"/>
        <w:rPr>
          <w:rFonts w:ascii="宋体" w:cs="宋体"/>
          <w:color w:val="auto"/>
          <w:kern w:val="0"/>
          <w:sz w:val="24"/>
        </w:rPr>
      </w:pPr>
      <w:r>
        <w:rPr>
          <w:rFonts w:hint="eastAsia" w:ascii="宋体" w:hAnsi="宋体" w:cs="宋体"/>
          <w:color w:val="auto"/>
          <w:kern w:val="0"/>
          <w:sz w:val="24"/>
        </w:rPr>
        <w:t>授权方</w:t>
      </w:r>
    </w:p>
    <w:p>
      <w:pPr>
        <w:widowControl/>
        <w:spacing w:before="75" w:after="75"/>
        <w:jc w:val="left"/>
        <w:rPr>
          <w:rFonts w:ascii="宋体" w:cs="宋体"/>
          <w:color w:val="auto"/>
          <w:kern w:val="0"/>
          <w:sz w:val="24"/>
        </w:rPr>
      </w:pPr>
      <w:r>
        <w:rPr>
          <w:rFonts w:hint="eastAsia" w:ascii="宋体" w:hAnsi="宋体" w:cs="宋体"/>
          <w:color w:val="auto"/>
          <w:kern w:val="0"/>
          <w:sz w:val="24"/>
        </w:rPr>
        <w:t>投标人：（全称并加盖单位公章）</w:t>
      </w:r>
    </w:p>
    <w:p>
      <w:pPr>
        <w:widowControl/>
        <w:spacing w:before="75" w:after="75"/>
        <w:jc w:val="left"/>
        <w:rPr>
          <w:rFonts w:ascii="宋体" w:cs="宋体"/>
          <w:color w:val="auto"/>
          <w:kern w:val="0"/>
          <w:sz w:val="24"/>
        </w:rPr>
      </w:pPr>
      <w:r>
        <w:rPr>
          <w:rFonts w:hint="eastAsia" w:ascii="宋体" w:hAnsi="宋体" w:cs="宋体"/>
          <w:color w:val="auto"/>
          <w:kern w:val="0"/>
          <w:sz w:val="24"/>
        </w:rPr>
        <w:t>单位法定代表人签字或盖章：</w:t>
      </w: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接受授权方</w:t>
      </w:r>
    </w:p>
    <w:p>
      <w:pPr>
        <w:widowControl/>
        <w:spacing w:before="75" w:after="75"/>
        <w:jc w:val="left"/>
        <w:rPr>
          <w:rFonts w:ascii="宋体" w:cs="宋体"/>
          <w:color w:val="auto"/>
          <w:kern w:val="0"/>
          <w:sz w:val="24"/>
        </w:rPr>
      </w:pPr>
      <w:r>
        <w:rPr>
          <w:rFonts w:hint="eastAsia" w:ascii="宋体" w:hAnsi="宋体" w:cs="宋体"/>
          <w:color w:val="auto"/>
          <w:kern w:val="0"/>
          <w:sz w:val="24"/>
        </w:rPr>
        <w:t>投标人代表签字：</w:t>
      </w:r>
      <w:r>
        <w:rPr>
          <w:rFonts w:ascii="宋体" w:cs="宋体"/>
          <w:color w:val="auto"/>
          <w:kern w:val="0"/>
          <w:sz w:val="24"/>
        </w:rPr>
        <w:t>                   </w:t>
      </w:r>
    </w:p>
    <w:p>
      <w:pPr>
        <w:widowControl/>
        <w:spacing w:before="75" w:after="75"/>
        <w:jc w:val="right"/>
        <w:rPr>
          <w:rFonts w:ascii="宋体" w:cs="宋体"/>
          <w:color w:val="auto"/>
          <w:kern w:val="0"/>
          <w:sz w:val="24"/>
        </w:rPr>
      </w:pPr>
      <w:r>
        <w:rPr>
          <w:rFonts w:hint="eastAsia" w:ascii="宋体" w:hAnsi="宋体" w:cs="宋体"/>
          <w:color w:val="auto"/>
          <w:kern w:val="0"/>
          <w:sz w:val="24"/>
        </w:rPr>
        <w:t>签署日期：</w:t>
      </w:r>
      <w:r>
        <w:rPr>
          <w:rFonts w:ascii="宋体" w:cs="宋体"/>
          <w:color w:val="auto"/>
          <w:kern w:val="0"/>
          <w:sz w:val="24"/>
        </w:rPr>
        <w:t>    </w:t>
      </w:r>
      <w:r>
        <w:rPr>
          <w:rFonts w:hint="eastAsia" w:ascii="宋体" w:hAnsi="宋体" w:cs="宋体"/>
          <w:color w:val="auto"/>
          <w:kern w:val="0"/>
          <w:sz w:val="24"/>
        </w:rPr>
        <w:t>年</w:t>
      </w:r>
      <w:r>
        <w:rPr>
          <w:rFonts w:ascii="宋体" w:cs="宋体"/>
          <w:color w:val="auto"/>
          <w:kern w:val="0"/>
          <w:sz w:val="24"/>
        </w:rPr>
        <w:t>   </w:t>
      </w:r>
      <w:r>
        <w:rPr>
          <w:rFonts w:hint="eastAsia" w:ascii="宋体" w:hAnsi="宋体" w:cs="宋体"/>
          <w:color w:val="auto"/>
          <w:kern w:val="0"/>
          <w:sz w:val="24"/>
        </w:rPr>
        <w:t>月</w:t>
      </w:r>
      <w:r>
        <w:rPr>
          <w:rFonts w:ascii="宋体" w:cs="宋体"/>
          <w:color w:val="auto"/>
          <w:kern w:val="0"/>
          <w:sz w:val="24"/>
        </w:rPr>
        <w:t>   </w:t>
      </w:r>
      <w:r>
        <w:rPr>
          <w:rFonts w:hint="eastAsia" w:ascii="宋体" w:hAnsi="宋体" w:cs="宋体"/>
          <w:color w:val="auto"/>
          <w:kern w:val="0"/>
          <w:sz w:val="24"/>
        </w:rPr>
        <w:t>日</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附：单位法定代表人、投标人代表的身份证正反面复印件</w:t>
      </w:r>
    </w:p>
    <w:tbl>
      <w:tblPr>
        <w:tblStyle w:val="1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outset" w:color="auto" w:sz="6" w:space="0"/>
              <w:bottom w:val="outset" w:color="auto" w:sz="6" w:space="0"/>
            </w:tcBorders>
            <w:tcMar>
              <w:top w:w="0" w:type="dxa"/>
              <w:left w:w="105" w:type="dxa"/>
              <w:bottom w:w="0" w:type="dxa"/>
              <w:right w:w="105" w:type="dxa"/>
            </w:tcMar>
            <w:vAlign w:val="center"/>
          </w:tcPr>
          <w:p>
            <w:pPr>
              <w:widowControl/>
              <w:jc w:val="center"/>
              <w:rPr>
                <w:rFonts w:ascii="宋体" w:cs="宋体"/>
                <w:color w:val="auto"/>
                <w:kern w:val="0"/>
                <w:sz w:val="24"/>
              </w:rPr>
            </w:pPr>
            <w:r>
              <w:rPr>
                <w:rFonts w:ascii="宋体" w:cs="宋体"/>
                <w:b/>
                <w:bCs/>
                <w:color w:val="auto"/>
                <w:kern w:val="0"/>
                <w:sz w:val="24"/>
              </w:rPr>
              <w:t> </w:t>
            </w:r>
          </w:p>
          <w:p>
            <w:pPr>
              <w:widowControl/>
              <w:jc w:val="center"/>
              <w:rPr>
                <w:rFonts w:ascii="宋体" w:cs="宋体"/>
                <w:color w:val="auto"/>
                <w:kern w:val="0"/>
                <w:sz w:val="24"/>
              </w:rPr>
            </w:pPr>
            <w:r>
              <w:rPr>
                <w:rFonts w:hint="eastAsia" w:ascii="宋体" w:hAnsi="宋体" w:cs="宋体"/>
                <w:b/>
                <w:bCs/>
                <w:color w:val="auto"/>
                <w:kern w:val="0"/>
                <w:sz w:val="24"/>
              </w:rPr>
              <w:t>要求：真实有效且内容完整、清晰、整洁。</w:t>
            </w:r>
          </w:p>
          <w:p>
            <w:pPr>
              <w:widowControl/>
              <w:jc w:val="center"/>
              <w:rPr>
                <w:rFonts w:ascii="宋体" w:cs="宋体"/>
                <w:color w:val="auto"/>
                <w:kern w:val="0"/>
                <w:sz w:val="24"/>
              </w:rPr>
            </w:pPr>
            <w:r>
              <w:rPr>
                <w:rFonts w:ascii="宋体" w:cs="宋体"/>
                <w:b/>
                <w:bCs/>
                <w:color w:val="auto"/>
                <w:kern w:val="0"/>
                <w:sz w:val="24"/>
              </w:rPr>
              <w:t> </w:t>
            </w:r>
          </w:p>
        </w:tc>
      </w:tr>
    </w:tbl>
    <w:p>
      <w:pPr>
        <w:widowControl/>
        <w:spacing w:before="75" w:after="75" w:line="360" w:lineRule="auto"/>
        <w:rPr>
          <w:rFonts w:ascii="宋体" w:cs="宋体"/>
          <w:color w:val="auto"/>
          <w:kern w:val="0"/>
          <w:sz w:val="24"/>
        </w:rPr>
      </w:pPr>
      <w:r>
        <w:rPr>
          <w:rFonts w:ascii="宋体" w:cs="宋体"/>
          <w:color w:val="auto"/>
          <w:kern w:val="0"/>
          <w:sz w:val="24"/>
        </w:rPr>
        <w:t> </w:t>
      </w:r>
      <w:r>
        <w:rPr>
          <w:rFonts w:ascii="宋体" w:cs="宋体"/>
          <w:color w:val="auto"/>
          <w:kern w:val="0"/>
          <w:sz w:val="24"/>
        </w:rPr>
        <w:br w:type="textWrapping"/>
      </w:r>
      <w:r>
        <w:rPr>
          <w:rFonts w:hint="eastAsia" w:ascii="宋体" w:hAnsi="宋体" w:cs="宋体"/>
          <w:color w:val="auto"/>
          <w:kern w:val="0"/>
          <w:sz w:val="24"/>
        </w:rPr>
        <w:t>注意：</w:t>
      </w:r>
    </w:p>
    <w:p>
      <w:pPr>
        <w:widowControl/>
        <w:spacing w:line="360" w:lineRule="auto"/>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、负责投标文件签字的投标人代表如果不是上述规定的法定代表人，则投标人应当在投标文件中提供本授权书，正本中的本授权书应为原件。</w:t>
      </w: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pStyle w:val="27"/>
        <w:ind w:firstLine="31680"/>
        <w:rPr>
          <w:rFonts w:ascii="宋体" w:hAnsi="宋体" w:eastAsia="宋体" w:cs="宋体"/>
          <w:b/>
          <w:bCs/>
          <w:color w:val="auto"/>
          <w:kern w:val="0"/>
          <w:sz w:val="24"/>
        </w:rPr>
      </w:pPr>
    </w:p>
    <w:p>
      <w:pPr>
        <w:pStyle w:val="27"/>
        <w:ind w:firstLine="31680"/>
        <w:rPr>
          <w:rFonts w:ascii="宋体" w:hAnsi="宋体" w:eastAsia="宋体" w:cs="宋体"/>
          <w:b/>
          <w:bCs/>
          <w:color w:val="auto"/>
          <w:kern w:val="0"/>
          <w:sz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二-2营业执照等证明文件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致：</w:t>
      </w:r>
      <w:r>
        <w:rPr>
          <w:rFonts w:hint="eastAsia" w:asciiTheme="majorEastAsia" w:hAnsiTheme="majorEastAsia" w:eastAsiaTheme="majorEastAsia" w:cstheme="majorEastAsia"/>
          <w:color w:val="auto"/>
          <w:sz w:val="24"/>
          <w:szCs w:val="24"/>
          <w:u w:val="single"/>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）投标人为法人（包括企业、事业单位和社会团体）的</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现附上由</w:t>
      </w:r>
      <w:r>
        <w:rPr>
          <w:rFonts w:hint="eastAsia" w:asciiTheme="majorEastAsia" w:hAnsiTheme="majorEastAsia" w:eastAsiaTheme="majorEastAsia" w:cstheme="majorEastAsia"/>
          <w:color w:val="auto"/>
          <w:sz w:val="24"/>
          <w:szCs w:val="24"/>
          <w:u w:val="single"/>
        </w:rPr>
        <w:t>（填写“签发机关全称”）</w:t>
      </w:r>
      <w:r>
        <w:rPr>
          <w:rFonts w:hint="eastAsia" w:asciiTheme="majorEastAsia" w:hAnsiTheme="majorEastAsia" w:eastAsiaTheme="majorEastAsia" w:cstheme="majorEastAsia"/>
          <w:color w:val="auto"/>
          <w:sz w:val="24"/>
          <w:szCs w:val="24"/>
        </w:rPr>
        <w:t>签发的我方统一社会信用代码</w:t>
      </w:r>
      <w:r>
        <w:rPr>
          <w:rFonts w:hint="eastAsia" w:asciiTheme="majorEastAsia" w:hAnsiTheme="majorEastAsia" w:eastAsiaTheme="majorEastAsia" w:cstheme="majorEastAsia"/>
          <w:color w:val="auto"/>
          <w:sz w:val="24"/>
          <w:szCs w:val="24"/>
          <w:u w:val="single"/>
        </w:rPr>
        <w:t>（请填写法人的具体证照名称）</w:t>
      </w:r>
      <w:r>
        <w:rPr>
          <w:rFonts w:hint="eastAsia" w:asciiTheme="majorEastAsia" w:hAnsiTheme="majorEastAsia" w:eastAsiaTheme="majorEastAsia" w:cstheme="majorEastAsia"/>
          <w:color w:val="auto"/>
          <w:sz w:val="24"/>
          <w:szCs w:val="24"/>
        </w:rPr>
        <w:t>复印件，该证明材料真实有效，否则我方负全部责任。</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）投标人为非法人（包括其他组织、自然人）的</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□现附上由</w:t>
      </w:r>
      <w:r>
        <w:rPr>
          <w:rFonts w:hint="eastAsia" w:asciiTheme="majorEastAsia" w:hAnsiTheme="majorEastAsia" w:eastAsiaTheme="majorEastAsia" w:cstheme="majorEastAsia"/>
          <w:color w:val="auto"/>
          <w:sz w:val="24"/>
          <w:szCs w:val="24"/>
          <w:u w:val="single"/>
        </w:rPr>
        <w:t>（填写“签发机关全称”）</w:t>
      </w:r>
      <w:r>
        <w:rPr>
          <w:rFonts w:hint="eastAsia" w:asciiTheme="majorEastAsia" w:hAnsiTheme="majorEastAsia" w:eastAsiaTheme="majorEastAsia" w:cstheme="majorEastAsia"/>
          <w:color w:val="auto"/>
          <w:sz w:val="24"/>
          <w:szCs w:val="24"/>
        </w:rPr>
        <w:t>签发的我方</w:t>
      </w:r>
      <w:r>
        <w:rPr>
          <w:rFonts w:hint="eastAsia" w:asciiTheme="majorEastAsia" w:hAnsiTheme="majorEastAsia" w:eastAsiaTheme="majorEastAsia" w:cstheme="majorEastAsia"/>
          <w:color w:val="auto"/>
          <w:sz w:val="24"/>
          <w:szCs w:val="24"/>
          <w:u w:val="single"/>
        </w:rPr>
        <w:t>（请填写非自然人的非法人的具体证照名称）</w:t>
      </w:r>
      <w:r>
        <w:rPr>
          <w:rFonts w:hint="eastAsia" w:asciiTheme="majorEastAsia" w:hAnsiTheme="majorEastAsia" w:eastAsiaTheme="majorEastAsia" w:cstheme="majorEastAsia"/>
          <w:color w:val="auto"/>
          <w:sz w:val="24"/>
          <w:szCs w:val="24"/>
        </w:rPr>
        <w:t>复印件，该证明材料真实有效，否则我方负全部责任。</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□现附上由</w:t>
      </w:r>
      <w:r>
        <w:rPr>
          <w:rFonts w:hint="eastAsia" w:asciiTheme="majorEastAsia" w:hAnsiTheme="majorEastAsia" w:eastAsiaTheme="majorEastAsia" w:cstheme="majorEastAsia"/>
          <w:color w:val="auto"/>
          <w:sz w:val="24"/>
          <w:szCs w:val="24"/>
          <w:u w:val="single"/>
        </w:rPr>
        <w:t>（填写“签发机关全称”）</w:t>
      </w:r>
      <w:r>
        <w:rPr>
          <w:rFonts w:hint="eastAsia" w:asciiTheme="majorEastAsia" w:hAnsiTheme="majorEastAsia" w:eastAsiaTheme="majorEastAsia" w:cstheme="majorEastAsia"/>
          <w:color w:val="auto"/>
          <w:sz w:val="24"/>
          <w:szCs w:val="24"/>
        </w:rPr>
        <w:t>签发的我方</w:t>
      </w:r>
      <w:r>
        <w:rPr>
          <w:rFonts w:hint="eastAsia" w:asciiTheme="majorEastAsia" w:hAnsiTheme="majorEastAsia" w:eastAsiaTheme="majorEastAsia" w:cstheme="majorEastAsia"/>
          <w:color w:val="auto"/>
          <w:sz w:val="24"/>
          <w:szCs w:val="24"/>
          <w:u w:val="single"/>
        </w:rPr>
        <w:t>（请填写自然人的身份证件名称）</w:t>
      </w:r>
      <w:r>
        <w:rPr>
          <w:rFonts w:hint="eastAsia" w:asciiTheme="majorEastAsia" w:hAnsiTheme="majorEastAsia" w:eastAsiaTheme="majorEastAsia" w:cstheme="majorEastAsia"/>
          <w:color w:val="auto"/>
          <w:sz w:val="24"/>
          <w:szCs w:val="24"/>
        </w:rPr>
        <w:t>复印件，该证明材料真实有效，否则我方负全部责任。</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★注意：</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1、请投标人按照实际情况编制填写，在相应的（）中打“√”并选择相应的“□”（若有）后，再按照本格式的要求提供相应证明材料的复印件。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3、投标人提供的相应证明材料复印件均应符合：内容完整、清晰、整洁，并由投标人加盖其单位公章。</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w:t>
      </w:r>
      <w:r>
        <w:rPr>
          <w:rFonts w:hint="eastAsia" w:asciiTheme="majorEastAsia" w:hAnsiTheme="majorEastAsia" w:eastAsiaTheme="majorEastAsia" w:cstheme="majorEastAsia"/>
          <w:color w:val="auto"/>
          <w:sz w:val="24"/>
          <w:szCs w:val="24"/>
          <w:u w:val="single"/>
        </w:rPr>
        <w:t>（全称并加盖单位公章）</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投标人代表签字：</w:t>
      </w:r>
      <w:r>
        <w:rPr>
          <w:rFonts w:hint="eastAsia" w:asciiTheme="majorEastAsia" w:hAnsiTheme="majorEastAsia" w:eastAsiaTheme="majorEastAsia" w:cstheme="majorEastAsia"/>
          <w:color w:val="auto"/>
          <w:sz w:val="24"/>
          <w:szCs w:val="24"/>
          <w:u w:val="single"/>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日期：</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日</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widowControl/>
        <w:spacing w:before="75" w:after="75" w:line="276" w:lineRule="auto"/>
        <w:jc w:val="center"/>
        <w:rPr>
          <w:rFonts w:ascii="宋体" w:hAnsi="宋体" w:cs="宋体"/>
          <w:kern w:val="0"/>
          <w:sz w:val="24"/>
        </w:rPr>
      </w:pPr>
      <w:r>
        <w:rPr>
          <w:rFonts w:ascii="宋体" w:hAnsi="宋体" w:cs="宋体"/>
          <w:b/>
          <w:bCs/>
          <w:kern w:val="0"/>
          <w:sz w:val="24"/>
        </w:rPr>
        <w:t>二-3财务状况报告</w:t>
      </w:r>
    </w:p>
    <w:p>
      <w:pPr>
        <w:widowControl/>
        <w:spacing w:before="75" w:after="75" w:line="360" w:lineRule="auto"/>
        <w:jc w:val="left"/>
        <w:rPr>
          <w:rFonts w:ascii="宋体" w:hAnsi="宋体" w:cs="宋体"/>
          <w:kern w:val="0"/>
          <w:sz w:val="24"/>
        </w:rPr>
      </w:pPr>
      <w:r>
        <w:rPr>
          <w:rFonts w:ascii="宋体" w:hAnsi="宋体" w:cs="宋体"/>
          <w:kern w:val="0"/>
          <w:sz w:val="24"/>
        </w:rPr>
        <w:t> </w:t>
      </w:r>
    </w:p>
    <w:p>
      <w:pPr>
        <w:widowControl/>
        <w:spacing w:before="75" w:after="75" w:line="360" w:lineRule="auto"/>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75" w:after="75" w:line="360" w:lineRule="auto"/>
        <w:ind w:firstLine="420"/>
        <w:jc w:val="left"/>
        <w:rPr>
          <w:rFonts w:hint="eastAsia" w:ascii="宋体" w:hAnsi="宋体" w:cs="宋体"/>
          <w:b/>
          <w:kern w:val="0"/>
          <w:sz w:val="24"/>
        </w:rPr>
      </w:pPr>
      <w:r>
        <w:rPr>
          <w:rFonts w:hint="eastAsia" w:ascii="宋体" w:hAnsi="宋体" w:cs="宋体"/>
          <w:b/>
          <w:kern w:val="0"/>
          <w:sz w:val="24"/>
        </w:rPr>
        <w:t>1、</w:t>
      </w:r>
      <w:r>
        <w:rPr>
          <w:rFonts w:ascii="宋体" w:hAnsi="宋体" w:cs="宋体"/>
          <w:b/>
          <w:kern w:val="0"/>
          <w:sz w:val="24"/>
        </w:rPr>
        <w:t>投标人提供财务报告的</w:t>
      </w:r>
      <w:r>
        <w:rPr>
          <w:rFonts w:hint="eastAsia" w:ascii="宋体" w:hAnsi="宋体" w:cs="宋体"/>
          <w:b/>
          <w:kern w:val="0"/>
          <w:sz w:val="24"/>
        </w:rPr>
        <w:t>（成立年限满1年及以上的投标人）</w:t>
      </w:r>
    </w:p>
    <w:p>
      <w:pPr>
        <w:widowControl/>
        <w:spacing w:before="75" w:after="75" w:line="360" w:lineRule="auto"/>
        <w:ind w:firstLine="420"/>
        <w:jc w:val="left"/>
        <w:rPr>
          <w:rFonts w:hint="eastAsia" w:ascii="宋体" w:hAnsi="宋体" w:cs="宋体"/>
          <w:kern w:val="0"/>
          <w:sz w:val="24"/>
        </w:rPr>
      </w:pPr>
      <w:r>
        <w:rPr>
          <w:rFonts w:ascii="宋体" w:hAnsi="宋体" w:cs="宋体"/>
          <w:kern w:val="0"/>
          <w:sz w:val="24"/>
        </w:rPr>
        <w:t>□现附上我方</w:t>
      </w:r>
      <w:r>
        <w:rPr>
          <w:rFonts w:ascii="宋体" w:hAnsi="宋体" w:cs="宋体"/>
          <w:kern w:val="0"/>
          <w:sz w:val="24"/>
          <w:u w:val="single"/>
        </w:rPr>
        <w:t>（</w:t>
      </w:r>
      <w:r>
        <w:rPr>
          <w:rFonts w:hint="eastAsia" w:ascii="宋体" w:hAnsi="宋体" w:cs="宋体"/>
          <w:kern w:val="0"/>
          <w:sz w:val="24"/>
          <w:u w:val="single"/>
        </w:rPr>
        <w:t>201</w:t>
      </w:r>
      <w:r>
        <w:rPr>
          <w:rFonts w:hint="eastAsia" w:ascii="宋体" w:hAnsi="宋体" w:cs="宋体"/>
          <w:kern w:val="0"/>
          <w:sz w:val="24"/>
          <w:u w:val="single"/>
          <w:lang w:val="en-US" w:eastAsia="zh-CN"/>
        </w:rPr>
        <w:t>9</w:t>
      </w:r>
      <w:r>
        <w:rPr>
          <w:rFonts w:ascii="宋体" w:hAnsi="宋体" w:cs="宋体"/>
          <w:kern w:val="0"/>
          <w:sz w:val="24"/>
          <w:u w:val="single"/>
        </w:rPr>
        <w:t>年度”）</w:t>
      </w:r>
      <w:r>
        <w:rPr>
          <w:rFonts w:ascii="宋体" w:hAnsi="宋体" w:cs="宋体"/>
          <w:kern w:val="0"/>
          <w:sz w:val="24"/>
        </w:rPr>
        <w:t>财务报告复印件，包括资产负债表、利润表、所有者权益变动表及其附注（若有），上述证明材料真实有效，否则我方负全部责任。</w:t>
      </w:r>
    </w:p>
    <w:p>
      <w:pPr>
        <w:widowControl/>
        <w:spacing w:before="75" w:after="75" w:line="360" w:lineRule="auto"/>
        <w:ind w:firstLine="420"/>
        <w:jc w:val="left"/>
        <w:rPr>
          <w:rFonts w:hint="eastAsia" w:ascii="宋体" w:hAnsi="宋体" w:cs="宋体"/>
          <w:b/>
          <w:kern w:val="0"/>
          <w:sz w:val="24"/>
        </w:rPr>
      </w:pPr>
    </w:p>
    <w:p>
      <w:pPr>
        <w:widowControl/>
        <w:spacing w:before="75" w:after="75" w:line="360" w:lineRule="auto"/>
        <w:ind w:firstLine="420"/>
        <w:jc w:val="left"/>
        <w:rPr>
          <w:rFonts w:hint="eastAsia" w:ascii="宋体" w:hAnsi="宋体" w:cs="宋体"/>
          <w:b/>
          <w:kern w:val="0"/>
          <w:sz w:val="24"/>
        </w:rPr>
      </w:pPr>
    </w:p>
    <w:p>
      <w:pPr>
        <w:widowControl/>
        <w:spacing w:before="75" w:after="75" w:line="360" w:lineRule="auto"/>
        <w:ind w:firstLine="420"/>
        <w:jc w:val="left"/>
        <w:rPr>
          <w:rFonts w:hint="eastAsia" w:ascii="宋体" w:hAnsi="宋体" w:cs="宋体"/>
          <w:b/>
          <w:kern w:val="0"/>
          <w:sz w:val="24"/>
        </w:rPr>
      </w:pPr>
      <w:r>
        <w:rPr>
          <w:rFonts w:hint="eastAsia" w:ascii="宋体" w:hAnsi="宋体" w:cs="宋体"/>
          <w:b/>
          <w:kern w:val="0"/>
          <w:sz w:val="24"/>
        </w:rPr>
        <w:t>2、</w:t>
      </w:r>
      <w:r>
        <w:rPr>
          <w:rFonts w:ascii="宋体" w:hAnsi="宋体" w:cs="宋体"/>
          <w:b/>
          <w:kern w:val="0"/>
          <w:sz w:val="24"/>
        </w:rPr>
        <w:t>投标人提供财务报告的</w:t>
      </w:r>
      <w:r>
        <w:rPr>
          <w:rFonts w:hint="eastAsia" w:ascii="宋体" w:hAnsi="宋体" w:cs="宋体"/>
          <w:b/>
          <w:kern w:val="0"/>
          <w:sz w:val="24"/>
        </w:rPr>
        <w:t>（20</w:t>
      </w:r>
      <w:r>
        <w:rPr>
          <w:rFonts w:hint="eastAsia" w:ascii="宋体" w:hAnsi="宋体" w:cs="宋体"/>
          <w:b/>
          <w:kern w:val="0"/>
          <w:sz w:val="24"/>
          <w:lang w:val="en-US" w:eastAsia="zh-CN"/>
        </w:rPr>
        <w:t>20</w:t>
      </w:r>
      <w:r>
        <w:rPr>
          <w:rFonts w:ascii="宋体" w:hAnsi="宋体" w:cs="宋体"/>
          <w:b/>
          <w:kern w:val="0"/>
          <w:sz w:val="24"/>
        </w:rPr>
        <w:t>年</w:t>
      </w:r>
      <w:r>
        <w:rPr>
          <w:rFonts w:hint="eastAsia" w:ascii="宋体" w:hAnsi="宋体" w:cs="宋体"/>
          <w:b/>
          <w:kern w:val="0"/>
          <w:sz w:val="24"/>
        </w:rPr>
        <w:t>新成立</w:t>
      </w:r>
      <w:r>
        <w:rPr>
          <w:rFonts w:ascii="宋体" w:hAnsi="宋体" w:cs="宋体"/>
          <w:b/>
          <w:kern w:val="0"/>
          <w:sz w:val="24"/>
        </w:rPr>
        <w:t>的投标人</w:t>
      </w:r>
      <w:r>
        <w:rPr>
          <w:rFonts w:hint="eastAsia" w:ascii="宋体" w:hAnsi="宋体" w:cs="宋体"/>
          <w:b/>
          <w:kern w:val="0"/>
          <w:sz w:val="24"/>
        </w:rPr>
        <w:t>）</w:t>
      </w:r>
    </w:p>
    <w:p>
      <w:pPr>
        <w:widowControl/>
        <w:spacing w:before="75" w:after="75" w:line="360" w:lineRule="auto"/>
        <w:ind w:firstLine="420"/>
        <w:jc w:val="left"/>
        <w:rPr>
          <w:rFonts w:hint="eastAsia" w:ascii="宋体" w:hAnsi="宋体" w:cs="宋体"/>
          <w:kern w:val="0"/>
          <w:sz w:val="24"/>
        </w:rPr>
      </w:pPr>
      <w:r>
        <w:rPr>
          <w:rFonts w:ascii="宋体" w:hAnsi="宋体" w:cs="宋体"/>
          <w:kern w:val="0"/>
          <w:sz w:val="24"/>
        </w:rPr>
        <w:t>□现附上我方</w:t>
      </w:r>
      <w:r>
        <w:rPr>
          <w:rFonts w:ascii="宋体" w:hAnsi="宋体" w:cs="宋体"/>
          <w:kern w:val="0"/>
          <w:sz w:val="24"/>
          <w:u w:val="single"/>
        </w:rPr>
        <w:t>（填写“</w:t>
      </w:r>
      <w:r>
        <w:rPr>
          <w:rFonts w:hint="eastAsia" w:ascii="宋体" w:hAnsi="宋体" w:cs="宋体"/>
          <w:kern w:val="0"/>
          <w:sz w:val="24"/>
          <w:u w:val="single"/>
        </w:rPr>
        <w:t>任一个月</w:t>
      </w:r>
      <w:r>
        <w:rPr>
          <w:rFonts w:ascii="宋体" w:hAnsi="宋体" w:cs="宋体"/>
          <w:kern w:val="0"/>
          <w:sz w:val="24"/>
          <w:u w:val="single"/>
        </w:rPr>
        <w:t>”）</w:t>
      </w:r>
      <w:r>
        <w:rPr>
          <w:rFonts w:ascii="宋体" w:hAnsi="宋体" w:cs="宋体"/>
          <w:kern w:val="0"/>
          <w:sz w:val="24"/>
        </w:rPr>
        <w:t>财务报告复印件，包括资产负债表、利润表、所有者权益变动表及其附注（若有），上述证明材料真实有效，否则我方负全部责任。</w:t>
      </w:r>
    </w:p>
    <w:p>
      <w:pPr>
        <w:widowControl/>
        <w:spacing w:before="75" w:after="75" w:line="360" w:lineRule="auto"/>
        <w:ind w:firstLine="420"/>
        <w:jc w:val="left"/>
        <w:rPr>
          <w:rFonts w:hint="eastAsia" w:ascii="宋体" w:hAnsi="宋体" w:cs="宋体"/>
          <w:b/>
          <w:kern w:val="0"/>
          <w:sz w:val="24"/>
          <w:lang w:val="en-US" w:eastAsia="zh-CN"/>
        </w:rPr>
      </w:pPr>
    </w:p>
    <w:p>
      <w:pPr>
        <w:widowControl/>
        <w:spacing w:before="75" w:after="75" w:line="360" w:lineRule="auto"/>
        <w:ind w:firstLine="420"/>
        <w:jc w:val="left"/>
        <w:rPr>
          <w:rFonts w:hint="eastAsia" w:ascii="宋体" w:hAnsi="宋体" w:cs="宋体"/>
          <w:b/>
          <w:kern w:val="0"/>
          <w:sz w:val="24"/>
        </w:rPr>
      </w:pPr>
      <w:r>
        <w:rPr>
          <w:rFonts w:hint="eastAsia" w:ascii="宋体" w:hAnsi="宋体" w:cs="宋体"/>
          <w:b/>
          <w:kern w:val="0"/>
          <w:sz w:val="24"/>
          <w:lang w:val="en-US" w:eastAsia="zh-CN"/>
        </w:rPr>
        <w:t>3、</w:t>
      </w:r>
      <w:r>
        <w:rPr>
          <w:rFonts w:hint="eastAsia" w:ascii="宋体" w:hAnsi="宋体" w:cs="宋体"/>
          <w:b/>
          <w:kern w:val="0"/>
          <w:sz w:val="24"/>
        </w:rPr>
        <w:t>投标人提供资信证明的</w:t>
      </w:r>
    </w:p>
    <w:p>
      <w:pPr>
        <w:pStyle w:val="15"/>
        <w:keepNext w:val="0"/>
        <w:keepLines w:val="0"/>
        <w:widowControl/>
        <w:suppressLineNumbers w:val="0"/>
        <w:ind w:left="0" w:firstLine="420"/>
        <w:rPr>
          <w:rFonts w:ascii="宋体" w:hAnsi="宋体" w:cs="宋体"/>
          <w:kern w:val="0"/>
          <w:sz w:val="24"/>
          <w:szCs w:val="24"/>
          <w:u w:val="none"/>
          <w:lang w:val="en-US" w:eastAsia="zh-CN" w:bidi="ar-SA"/>
        </w:rPr>
      </w:pPr>
      <w:r>
        <w:rPr>
          <w:rFonts w:hint="eastAsia" w:ascii="宋体" w:hAnsi="宋体" w:cs="宋体"/>
          <w:kern w:val="0"/>
          <w:sz w:val="24"/>
          <w:szCs w:val="24"/>
          <w:u w:val="none"/>
          <w:lang w:val="en-US" w:eastAsia="zh-CN" w:bidi="ar-SA"/>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widowControl/>
        <w:spacing w:before="75" w:after="75" w:line="360" w:lineRule="auto"/>
        <w:jc w:val="left"/>
        <w:rPr>
          <w:rFonts w:ascii="宋体" w:hAnsi="宋体" w:cs="宋体"/>
          <w:kern w:val="0"/>
          <w:sz w:val="24"/>
        </w:rPr>
      </w:pPr>
      <w:r>
        <w:rPr>
          <w:rFonts w:cs="宋体"/>
          <w:kern w:val="0"/>
          <w:sz w:val="24"/>
        </w:rPr>
        <w:t> </w:t>
      </w:r>
    </w:p>
    <w:p>
      <w:pPr>
        <w:widowControl/>
        <w:spacing w:before="75" w:after="75" w:line="360" w:lineRule="auto"/>
        <w:ind w:firstLine="120" w:firstLineChars="50"/>
        <w:jc w:val="left"/>
        <w:rPr>
          <w:rFonts w:ascii="宋体" w:hAnsi="宋体" w:cs="宋体"/>
          <w:kern w:val="0"/>
          <w:sz w:val="24"/>
        </w:rPr>
      </w:pPr>
      <w:r>
        <w:rPr>
          <w:rFonts w:ascii="宋体" w:hAnsi="宋体" w:cs="宋体"/>
          <w:kern w:val="0"/>
          <w:sz w:val="24"/>
        </w:rPr>
        <w:t>注意：</w:t>
      </w:r>
    </w:p>
    <w:p>
      <w:pPr>
        <w:widowControl/>
        <w:spacing w:before="75" w:after="75" w:line="360" w:lineRule="auto"/>
        <w:ind w:firstLine="480" w:firstLineChars="200"/>
        <w:jc w:val="left"/>
        <w:rPr>
          <w:rFonts w:ascii="宋体" w:hAnsi="宋体" w:cs="宋体"/>
          <w:kern w:val="0"/>
          <w:sz w:val="24"/>
        </w:rPr>
      </w:pPr>
      <w:r>
        <w:rPr>
          <w:rFonts w:ascii="宋体" w:hAnsi="宋体" w:cs="宋体"/>
          <w:kern w:val="0"/>
          <w:sz w:val="24"/>
        </w:rPr>
        <w:t>投标人提供的相应证明材料复印件均应符合：内容完整、清晰、整洁，并由投标人加盖其单位公章。</w:t>
      </w:r>
    </w:p>
    <w:p>
      <w:pPr>
        <w:widowControl/>
        <w:spacing w:before="75" w:after="75" w:line="360" w:lineRule="auto"/>
        <w:jc w:val="left"/>
        <w:rPr>
          <w:rFonts w:ascii="宋体" w:hAnsi="宋体" w:cs="宋体"/>
          <w:kern w:val="0"/>
          <w:sz w:val="24"/>
        </w:rPr>
      </w:pPr>
      <w:r>
        <w:rPr>
          <w:rFonts w:cs="宋体"/>
          <w:kern w:val="0"/>
          <w:sz w:val="24"/>
        </w:rPr>
        <w:t> </w:t>
      </w:r>
    </w:p>
    <w:p>
      <w:pPr>
        <w:widowControl/>
        <w:spacing w:before="75" w:after="75" w:line="360" w:lineRule="auto"/>
        <w:jc w:val="left"/>
        <w:rPr>
          <w:rFonts w:ascii="宋体" w:hAnsi="宋体" w:cs="宋体"/>
          <w:kern w:val="0"/>
          <w:sz w:val="24"/>
        </w:rPr>
      </w:pPr>
      <w:r>
        <w:rPr>
          <w:rFonts w:cs="宋体"/>
          <w:kern w:val="0"/>
          <w:sz w:val="24"/>
        </w:rPr>
        <w:t> </w:t>
      </w:r>
    </w:p>
    <w:p>
      <w:pPr>
        <w:widowControl/>
        <w:spacing w:before="75" w:after="75" w:line="360" w:lineRule="auto"/>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75" w:after="75" w:line="360" w:lineRule="auto"/>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75" w:after="75" w:line="360" w:lineRule="auto"/>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75" w:after="75" w:line="360"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center"/>
        <w:rPr>
          <w:rFonts w:ascii="宋体" w:hAnsi="宋体" w:cs="宋体"/>
          <w:b/>
          <w:bCs/>
          <w:kern w:val="0"/>
          <w:sz w:val="24"/>
        </w:rPr>
      </w:pPr>
      <w:r>
        <w:rPr>
          <w:rFonts w:ascii="宋体" w:hAnsi="宋体" w:cs="宋体"/>
          <w:kern w:val="0"/>
          <w:sz w:val="24"/>
        </w:rPr>
        <w:t>二</w:t>
      </w:r>
      <w:r>
        <w:rPr>
          <w:rFonts w:ascii="宋体" w:hAnsi="宋体" w:cs="宋体"/>
          <w:b/>
          <w:bCs/>
          <w:kern w:val="0"/>
          <w:sz w:val="24"/>
        </w:rPr>
        <w:t>-4</w:t>
      </w:r>
      <w:r>
        <w:rPr>
          <w:rFonts w:hint="eastAsia" w:ascii="宋体" w:hAnsi="宋体" w:cs="宋体"/>
          <w:b/>
          <w:bCs/>
          <w:kern w:val="0"/>
          <w:sz w:val="24"/>
        </w:rPr>
        <w:t>依法缴纳税收和依法缴纳社保资金的证明材料</w:t>
      </w:r>
    </w:p>
    <w:p>
      <w:pPr>
        <w:widowControl/>
        <w:spacing w:before="75" w:after="75" w:line="276" w:lineRule="auto"/>
        <w:jc w:val="left"/>
        <w:rPr>
          <w:rFonts w:hint="eastAsia"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hint="eastAsia" w:ascii="宋体" w:hAnsi="宋体" w:cs="宋体"/>
          <w:b/>
          <w:kern w:val="0"/>
          <w:sz w:val="24"/>
        </w:rPr>
        <w:t xml:space="preserve">4-1 </w:t>
      </w:r>
      <w:r>
        <w:rPr>
          <w:rFonts w:hint="eastAsia" w:ascii="宋体" w:hAnsi="宋体" w:cs="宋体"/>
          <w:b/>
          <w:bCs/>
          <w:kern w:val="0"/>
          <w:sz w:val="24"/>
        </w:rPr>
        <w:t>依法缴纳税收的证明材料</w:t>
      </w:r>
    </w:p>
    <w:p>
      <w:pPr>
        <w:widowControl/>
        <w:spacing w:before="75" w:after="75" w:line="276" w:lineRule="auto"/>
        <w:jc w:val="left"/>
        <w:rPr>
          <w:rFonts w:hint="eastAsia" w:ascii="宋体" w:hAnsi="宋体" w:cs="宋体"/>
          <w:kern w:val="0"/>
          <w:sz w:val="24"/>
        </w:rPr>
      </w:pPr>
    </w:p>
    <w:p>
      <w:pPr>
        <w:widowControl/>
        <w:spacing w:before="75" w:after="75" w:line="360" w:lineRule="auto"/>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75" w:after="75" w:line="360" w:lineRule="auto"/>
        <w:ind w:firstLine="420"/>
        <w:jc w:val="left"/>
        <w:rPr>
          <w:rFonts w:ascii="宋体" w:hAnsi="宋体" w:cs="宋体"/>
          <w:b/>
          <w:kern w:val="0"/>
          <w:sz w:val="24"/>
        </w:rPr>
      </w:pPr>
      <w:r>
        <w:rPr>
          <w:rFonts w:ascii="宋体" w:hAnsi="宋体" w:cs="宋体"/>
          <w:b/>
          <w:kern w:val="0"/>
          <w:sz w:val="24"/>
        </w:rPr>
        <w:t>1、依法缴纳税收的投标人</w:t>
      </w:r>
    </w:p>
    <w:p>
      <w:pPr>
        <w:widowControl/>
        <w:spacing w:before="75" w:after="75" w:line="360" w:lineRule="auto"/>
        <w:ind w:firstLine="420"/>
        <w:jc w:val="left"/>
        <w:rPr>
          <w:rFonts w:hint="eastAsia" w:ascii="宋体" w:hAnsi="宋体" w:cs="宋体"/>
          <w:kern w:val="0"/>
          <w:sz w:val="24"/>
        </w:rPr>
      </w:pPr>
      <w:r>
        <w:rPr>
          <w:rFonts w:ascii="宋体" w:hAnsi="宋体" w:cs="宋体"/>
          <w:kern w:val="0"/>
          <w:sz w:val="24"/>
        </w:rPr>
        <w:t>现附上自</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日期间我方缴纳的</w:t>
      </w:r>
      <w:r>
        <w:rPr>
          <w:rFonts w:ascii="宋体" w:hAnsi="宋体" w:cs="宋体"/>
          <w:kern w:val="0"/>
          <w:sz w:val="24"/>
          <w:u w:val="single"/>
        </w:rPr>
        <w:t>（按照投标人实际缴纳的税种名称填写，如：增值税、所得税等）</w:t>
      </w:r>
      <w:r>
        <w:rPr>
          <w:rFonts w:ascii="宋体" w:hAnsi="宋体" w:cs="宋体"/>
          <w:kern w:val="0"/>
          <w:sz w:val="24"/>
        </w:rPr>
        <w:t>税收凭据复印件，上述证明材料真实有效，否则我方负全部责任。</w:t>
      </w:r>
    </w:p>
    <w:p>
      <w:pPr>
        <w:widowControl/>
        <w:spacing w:before="75" w:after="75" w:line="360" w:lineRule="auto"/>
        <w:ind w:firstLine="420"/>
        <w:jc w:val="left"/>
        <w:rPr>
          <w:rFonts w:ascii="宋体" w:hAnsi="宋体" w:cs="宋体"/>
          <w:b/>
          <w:kern w:val="0"/>
          <w:sz w:val="24"/>
        </w:rPr>
      </w:pPr>
      <w:r>
        <w:rPr>
          <w:rFonts w:ascii="宋体" w:hAnsi="宋体" w:cs="宋体"/>
          <w:b/>
          <w:kern w:val="0"/>
          <w:sz w:val="24"/>
        </w:rPr>
        <w:t>2、依法免税的投标人</w:t>
      </w:r>
    </w:p>
    <w:p>
      <w:pPr>
        <w:widowControl/>
        <w:spacing w:before="75" w:after="75" w:line="360" w:lineRule="auto"/>
        <w:ind w:firstLine="420"/>
        <w:jc w:val="left"/>
        <w:rPr>
          <w:rFonts w:ascii="宋体" w:hAnsi="宋体" w:cs="宋体"/>
          <w:kern w:val="0"/>
          <w:sz w:val="24"/>
        </w:rPr>
      </w:pPr>
      <w:r>
        <w:rPr>
          <w:rFonts w:ascii="宋体" w:hAnsi="宋体" w:cs="宋体"/>
          <w:kern w:val="0"/>
          <w:sz w:val="24"/>
        </w:rPr>
        <w:t>现附上我方依法免税证明材料复印件，上述证明材料真实有效，否则我方负全部责任。</w:t>
      </w:r>
    </w:p>
    <w:p>
      <w:pPr>
        <w:widowControl/>
        <w:spacing w:before="75" w:after="75" w:line="276" w:lineRule="auto"/>
        <w:jc w:val="left"/>
        <w:rPr>
          <w:rFonts w:ascii="宋体" w:hAnsi="宋体" w:cs="宋体"/>
          <w:kern w:val="0"/>
          <w:sz w:val="24"/>
        </w:rPr>
      </w:pPr>
      <w:r>
        <w:rPr>
          <w:rFonts w:cs="宋体"/>
          <w:kern w:val="0"/>
          <w:sz w:val="24"/>
        </w:rPr>
        <w:t> </w:t>
      </w:r>
    </w:p>
    <w:p>
      <w:pPr>
        <w:widowControl/>
        <w:spacing w:before="75" w:after="75" w:line="360" w:lineRule="auto"/>
        <w:ind w:firstLine="120" w:firstLineChars="50"/>
        <w:jc w:val="left"/>
        <w:rPr>
          <w:rFonts w:ascii="宋体" w:hAnsi="宋体" w:cs="宋体"/>
          <w:kern w:val="0"/>
          <w:sz w:val="24"/>
        </w:rPr>
      </w:pPr>
      <w:r>
        <w:rPr>
          <w:rFonts w:ascii="宋体" w:hAnsi="宋体" w:cs="宋体"/>
          <w:kern w:val="0"/>
          <w:sz w:val="24"/>
        </w:rPr>
        <w:t>注意：</w:t>
      </w:r>
    </w:p>
    <w:p>
      <w:pPr>
        <w:widowControl/>
        <w:spacing w:before="75" w:after="75"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、投标人提供的税收凭据复印件应符合下列规定：</w:t>
      </w:r>
    </w:p>
    <w:p>
      <w:pPr>
        <w:widowControl/>
        <w:spacing w:before="75" w:after="75"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.1投标截止时间前（不含投标截止时间的当月）已依法缴纳税收的投标人，提供投标截止时间前六个月（不含投标截止时间的当月）中任一月份的税收凭据复印件。</w:t>
      </w:r>
    </w:p>
    <w:p>
      <w:pPr>
        <w:widowControl/>
        <w:spacing w:before="75" w:after="75"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.2投标截止时间的当月成立且已依法缴纳税收的投标人，提供投标截止时间当月的税收凭据复印件。</w:t>
      </w:r>
    </w:p>
    <w:p>
      <w:pPr>
        <w:widowControl/>
        <w:spacing w:before="75" w:after="75"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.3投标截止时间的当月成立但因税务机关原因导致其尚未依法缴纳税收的投标人，提供依法缴纳税收承诺书原件（格式自拟），该承诺书视同税收凭据。</w:t>
      </w:r>
    </w:p>
    <w:p>
      <w:pPr>
        <w:widowControl/>
        <w:spacing w:before="75" w:after="75"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ascii="宋体" w:hAnsi="宋体" w:cs="宋体"/>
          <w:b/>
          <w:bCs/>
          <w:kern w:val="0"/>
          <w:sz w:val="24"/>
        </w:rPr>
        <w:t>“依法缴纳税收证明材料”</w:t>
      </w:r>
      <w:r>
        <w:rPr>
          <w:rFonts w:ascii="宋体" w:hAnsi="宋体" w:cs="宋体"/>
          <w:kern w:val="0"/>
          <w:sz w:val="24"/>
        </w:rPr>
        <w:t>有欠缴记录的，视为</w:t>
      </w:r>
      <w:r>
        <w:rPr>
          <w:rFonts w:ascii="宋体" w:hAnsi="宋体" w:cs="宋体"/>
          <w:b/>
          <w:bCs/>
          <w:kern w:val="0"/>
          <w:sz w:val="24"/>
        </w:rPr>
        <w:t>未依法缴纳税收。</w:t>
      </w:r>
    </w:p>
    <w:p>
      <w:pPr>
        <w:widowControl/>
        <w:spacing w:before="75" w:after="75" w:line="360" w:lineRule="auto"/>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、投标人提供的相应证明材料复印件均应符合：内容完整、清晰、整洁，并由投标人加盖其单位公章。</w:t>
      </w:r>
    </w:p>
    <w:p>
      <w:pPr>
        <w:widowControl/>
        <w:spacing w:before="75" w:after="75" w:line="276" w:lineRule="auto"/>
        <w:jc w:val="left"/>
        <w:rPr>
          <w:rFonts w:ascii="宋体" w:hAnsi="宋体" w:cs="宋体"/>
          <w:kern w:val="0"/>
          <w:sz w:val="24"/>
        </w:rPr>
      </w:pPr>
      <w:r>
        <w:rPr>
          <w:rFonts w:cs="宋体"/>
          <w:kern w:val="0"/>
          <w:sz w:val="24"/>
        </w:rPr>
        <w:t> </w:t>
      </w:r>
    </w:p>
    <w:p>
      <w:pPr>
        <w:widowControl/>
        <w:spacing w:before="75" w:after="75" w:line="360" w:lineRule="auto"/>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75" w:after="75" w:line="360" w:lineRule="auto"/>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75" w:after="75" w:line="360" w:lineRule="auto"/>
        <w:jc w:val="left"/>
        <w:rPr>
          <w:rFonts w:hint="eastAsia"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75" w:after="75" w:line="276" w:lineRule="auto"/>
        <w:rPr>
          <w:rFonts w:hint="eastAsia" w:ascii="宋体" w:hAnsi="宋体" w:cs="宋体"/>
          <w:b/>
          <w:kern w:val="0"/>
          <w:sz w:val="24"/>
        </w:rPr>
      </w:pPr>
    </w:p>
    <w:p>
      <w:pPr>
        <w:pStyle w:val="7"/>
        <w:rPr>
          <w:rFonts w:hint="eastAsia"/>
        </w:rPr>
      </w:pPr>
    </w:p>
    <w:p>
      <w:pPr>
        <w:widowControl/>
        <w:spacing w:before="75" w:after="75" w:line="276" w:lineRule="auto"/>
        <w:jc w:val="center"/>
        <w:rPr>
          <w:rFonts w:ascii="宋体" w:hAnsi="宋体" w:cs="宋体"/>
          <w:b/>
          <w:kern w:val="0"/>
          <w:sz w:val="24"/>
        </w:rPr>
      </w:pPr>
      <w:r>
        <w:rPr>
          <w:rFonts w:hint="eastAsia" w:ascii="宋体" w:hAnsi="宋体" w:cs="宋体"/>
          <w:b/>
          <w:kern w:val="0"/>
          <w:sz w:val="24"/>
        </w:rPr>
        <w:t xml:space="preserve">4-2 </w:t>
      </w:r>
      <w:r>
        <w:rPr>
          <w:rFonts w:hint="eastAsia" w:ascii="宋体" w:hAnsi="宋体"/>
          <w:b/>
          <w:sz w:val="24"/>
        </w:rPr>
        <w:t>依法缴纳社保资金的证明材料</w:t>
      </w:r>
    </w:p>
    <w:p>
      <w:pPr>
        <w:widowControl/>
        <w:spacing w:before="75" w:after="75" w:line="276" w:lineRule="auto"/>
        <w:jc w:val="left"/>
        <w:rPr>
          <w:rFonts w:hint="eastAsia" w:ascii="宋体" w:hAnsi="宋体" w:cs="宋体"/>
          <w:kern w:val="0"/>
          <w:sz w:val="24"/>
        </w:rPr>
      </w:pPr>
    </w:p>
    <w:p>
      <w:pPr>
        <w:widowControl/>
        <w:spacing w:before="75" w:after="75" w:line="276" w:lineRule="auto"/>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75" w:after="75" w:line="276" w:lineRule="auto"/>
        <w:ind w:firstLine="420"/>
        <w:jc w:val="left"/>
        <w:rPr>
          <w:rFonts w:ascii="宋体" w:hAnsi="宋体" w:cs="宋体"/>
          <w:b/>
          <w:kern w:val="0"/>
          <w:sz w:val="24"/>
        </w:rPr>
      </w:pPr>
      <w:r>
        <w:rPr>
          <w:rFonts w:ascii="宋体" w:hAnsi="宋体" w:cs="宋体"/>
          <w:b/>
          <w:kern w:val="0"/>
          <w:sz w:val="24"/>
        </w:rPr>
        <w:t>1、依法缴纳社会保障资金的投标人</w:t>
      </w:r>
    </w:p>
    <w:p>
      <w:pPr>
        <w:widowControl/>
        <w:spacing w:before="75" w:after="75" w:line="276" w:lineRule="auto"/>
        <w:ind w:firstLine="420"/>
        <w:jc w:val="left"/>
        <w:rPr>
          <w:rFonts w:hint="eastAsia" w:ascii="宋体" w:hAnsi="宋体" w:cs="宋体"/>
          <w:kern w:val="0"/>
          <w:sz w:val="24"/>
        </w:rPr>
      </w:pPr>
      <w:r>
        <w:rPr>
          <w:rFonts w:ascii="宋体" w:hAnsi="宋体" w:cs="宋体"/>
          <w:kern w:val="0"/>
          <w:sz w:val="24"/>
        </w:rPr>
        <w:t>现附上自</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75" w:after="75" w:line="276" w:lineRule="auto"/>
        <w:ind w:firstLine="420"/>
        <w:jc w:val="left"/>
        <w:rPr>
          <w:rFonts w:ascii="宋体" w:hAnsi="宋体" w:cs="宋体"/>
          <w:b/>
          <w:kern w:val="0"/>
          <w:sz w:val="24"/>
        </w:rPr>
      </w:pPr>
      <w:r>
        <w:rPr>
          <w:rFonts w:ascii="宋体" w:hAnsi="宋体" w:cs="宋体"/>
          <w:b/>
          <w:kern w:val="0"/>
          <w:sz w:val="24"/>
        </w:rPr>
        <w:t>2、依法不需要缴纳社会保障资金的投标人</w:t>
      </w:r>
    </w:p>
    <w:p>
      <w:pPr>
        <w:widowControl/>
        <w:spacing w:before="75" w:after="75" w:line="276" w:lineRule="auto"/>
        <w:ind w:firstLine="420"/>
        <w:jc w:val="left"/>
        <w:rPr>
          <w:rFonts w:ascii="宋体" w:hAnsi="宋体" w:cs="宋体"/>
          <w:kern w:val="0"/>
          <w:sz w:val="24"/>
        </w:rPr>
      </w:pPr>
      <w:r>
        <w:rPr>
          <w:rFonts w:ascii="宋体" w:hAnsi="宋体" w:cs="宋体"/>
          <w:kern w:val="0"/>
          <w:sz w:val="24"/>
        </w:rPr>
        <w:t>现附上我方依法不需要缴纳社会保障资金证明材料复印件，上述证明材料真实有效，否则我方负全部责任。</w:t>
      </w:r>
    </w:p>
    <w:p>
      <w:pPr>
        <w:widowControl/>
        <w:spacing w:before="75" w:after="75" w:line="276" w:lineRule="auto"/>
        <w:jc w:val="left"/>
        <w:rPr>
          <w:rFonts w:ascii="宋体" w:hAnsi="宋体" w:cs="宋体"/>
          <w:kern w:val="0"/>
          <w:sz w:val="24"/>
        </w:rPr>
      </w:pPr>
      <w:r>
        <w:rPr>
          <w:rFonts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注意：</w:t>
      </w:r>
    </w:p>
    <w:p>
      <w:pPr>
        <w:widowControl/>
        <w:spacing w:before="75" w:after="75" w:line="276"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、投标人提供的社会保险凭据复印件应符合下列规定：</w:t>
      </w:r>
    </w:p>
    <w:p>
      <w:pPr>
        <w:widowControl/>
        <w:spacing w:before="75" w:after="75" w:line="276"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.1投标截止时间前（不含投标截止时间的当月）已依法缴纳社会保障资金的投标人，提供投标截止时间前六个月（不含投标截止时间的当月）中任一月份的社会保险凭据复印件。</w:t>
      </w:r>
    </w:p>
    <w:p>
      <w:pPr>
        <w:widowControl/>
        <w:spacing w:before="75" w:after="75" w:line="276"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.2投标截止时间的当月成立且已依法缴纳社会保障资金的投标人，提供投标截止时间当月的社会保险凭据复印件。</w:t>
      </w:r>
    </w:p>
    <w:p>
      <w:pPr>
        <w:widowControl/>
        <w:spacing w:before="75" w:after="75" w:line="276"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.3投标截止时间的当月成立但因税务机关</w:t>
      </w:r>
      <w:r>
        <w:rPr>
          <w:rFonts w:cs="宋体"/>
          <w:kern w:val="0"/>
          <w:sz w:val="24"/>
        </w:rPr>
        <w:t>/</w:t>
      </w:r>
      <w:r>
        <w:rPr>
          <w:rFonts w:ascii="宋体" w:hAnsi="宋体" w:cs="宋体"/>
          <w:kern w:val="0"/>
          <w:sz w:val="24"/>
        </w:rPr>
        <w:t>社会保障资金管理机关原因导致其尚未依法缴纳社会保障资金的投标人，提供依法缴纳社会保障资金承诺书原件（格式自拟），该承诺书视同社会保险凭据。</w:t>
      </w:r>
    </w:p>
    <w:p>
      <w:pPr>
        <w:widowControl/>
        <w:spacing w:before="75" w:after="75" w:line="276"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ascii="宋体" w:hAnsi="宋体" w:cs="宋体"/>
          <w:b/>
          <w:bCs/>
          <w:kern w:val="0"/>
          <w:sz w:val="24"/>
        </w:rPr>
        <w:t>“依法缴纳社会保障资金证明材料”</w:t>
      </w:r>
      <w:r>
        <w:rPr>
          <w:rFonts w:ascii="宋体" w:hAnsi="宋体" w:cs="宋体"/>
          <w:kern w:val="0"/>
          <w:sz w:val="24"/>
        </w:rPr>
        <w:t>有欠缴记录的，视为</w:t>
      </w:r>
      <w:r>
        <w:rPr>
          <w:rFonts w:ascii="宋体" w:hAnsi="宋体" w:cs="宋体"/>
          <w:b/>
          <w:bCs/>
          <w:kern w:val="0"/>
          <w:sz w:val="24"/>
        </w:rPr>
        <w:t>未依法缴纳社会保障资金。</w:t>
      </w:r>
    </w:p>
    <w:p>
      <w:pPr>
        <w:widowControl/>
        <w:spacing w:before="75" w:after="75" w:line="276" w:lineRule="auto"/>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、投标人提供的相应证明材料复印件均应符合：内容完整、清晰、整洁，并由投标人加盖其单位公章。</w:t>
      </w:r>
    </w:p>
    <w:p>
      <w:pPr>
        <w:widowControl/>
        <w:spacing w:before="75" w:after="75" w:line="276" w:lineRule="auto"/>
        <w:jc w:val="left"/>
        <w:rPr>
          <w:rFonts w:ascii="宋体" w:hAnsi="宋体" w:cs="宋体"/>
          <w:kern w:val="0"/>
          <w:sz w:val="24"/>
        </w:rPr>
      </w:pPr>
      <w:r>
        <w:rPr>
          <w:rFonts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75" w:after="75" w:line="276" w:lineRule="auto"/>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75" w:after="75" w:line="276" w:lineRule="auto"/>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75" w:after="75" w:line="276" w:lineRule="auto"/>
        <w:jc w:val="center"/>
        <w:rPr>
          <w:rFonts w:hint="eastAsia" w:ascii="宋体" w:hAnsi="宋体" w:cs="宋体"/>
          <w:kern w:val="0"/>
          <w:sz w:val="24"/>
        </w:rPr>
      </w:pPr>
      <w:r>
        <w:rPr>
          <w:rFonts w:cs="宋体"/>
          <w:kern w:val="0"/>
          <w:sz w:val="24"/>
        </w:rPr>
        <w:br w:type="textWrapping"/>
      </w:r>
    </w:p>
    <w:p>
      <w:pPr>
        <w:widowControl/>
        <w:spacing w:before="75" w:after="75" w:line="276" w:lineRule="auto"/>
        <w:jc w:val="center"/>
        <w:rPr>
          <w:rFonts w:hint="eastAsia" w:ascii="宋体" w:hAnsi="宋体" w:cs="宋体"/>
          <w:kern w:val="0"/>
          <w:sz w:val="24"/>
        </w:rPr>
      </w:pPr>
    </w:p>
    <w:p>
      <w:pPr>
        <w:pStyle w:val="7"/>
        <w:rPr>
          <w:rFonts w:hint="eastAsia"/>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r>
        <w:rPr>
          <w:rFonts w:ascii="宋体" w:hAnsi="宋体" w:cs="宋体"/>
          <w:kern w:val="0"/>
          <w:sz w:val="24"/>
        </w:rPr>
        <w:t>二</w:t>
      </w:r>
      <w:r>
        <w:rPr>
          <w:rFonts w:ascii="宋体" w:hAnsi="宋体" w:cs="宋体"/>
          <w:b/>
          <w:bCs/>
          <w:kern w:val="0"/>
          <w:sz w:val="24"/>
        </w:rPr>
        <w:t>-</w:t>
      </w:r>
      <w:r>
        <w:rPr>
          <w:rFonts w:hint="eastAsia" w:ascii="宋体" w:hAnsi="宋体" w:cs="宋体"/>
          <w:b/>
          <w:bCs/>
          <w:kern w:val="0"/>
          <w:sz w:val="24"/>
        </w:rPr>
        <w:t>5</w:t>
      </w:r>
      <w:r>
        <w:rPr>
          <w:rFonts w:ascii="宋体" w:hAnsi="宋体" w:cs="宋体"/>
          <w:b/>
          <w:bCs/>
          <w:kern w:val="0"/>
          <w:sz w:val="24"/>
        </w:rPr>
        <w:t>具备履行合同所必需设备和专业技术能力的</w:t>
      </w:r>
      <w:r>
        <w:rPr>
          <w:rFonts w:hint="eastAsia" w:ascii="宋体" w:hAnsi="宋体" w:cs="宋体"/>
          <w:b/>
          <w:bCs/>
          <w:kern w:val="0"/>
          <w:sz w:val="24"/>
        </w:rPr>
        <w:t>声明函</w:t>
      </w:r>
    </w:p>
    <w:p>
      <w:pPr>
        <w:widowControl/>
        <w:spacing w:before="75" w:after="75" w:line="276" w:lineRule="auto"/>
        <w:jc w:val="left"/>
        <w:rPr>
          <w:rFonts w:hint="eastAsia" w:ascii="宋体" w:hAnsi="宋体" w:cs="宋体"/>
          <w:kern w:val="0"/>
          <w:sz w:val="24"/>
        </w:rPr>
      </w:pPr>
    </w:p>
    <w:p>
      <w:pPr>
        <w:widowControl/>
        <w:spacing w:before="75" w:after="75" w:line="276" w:lineRule="auto"/>
        <w:jc w:val="left"/>
        <w:rPr>
          <w:rFonts w:hint="eastAsia" w:ascii="宋体" w:hAnsi="宋体" w:cs="宋体"/>
          <w:kern w:val="0"/>
          <w:sz w:val="24"/>
        </w:rPr>
      </w:pPr>
    </w:p>
    <w:p>
      <w:pPr>
        <w:widowControl/>
        <w:spacing w:before="75" w:after="75" w:line="276" w:lineRule="auto"/>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32"/>
        </w:rPr>
      </w:pPr>
      <w:r>
        <w:rPr>
          <w:rFonts w:ascii="宋体" w:hAnsi="宋体" w:cs="宋体"/>
          <w:kern w:val="0"/>
          <w:sz w:val="24"/>
          <w:szCs w:val="21"/>
        </w:rPr>
        <w:t>我方具备履行合同所必需的设备和专业技术能力，否则产生不利后果由我方承担责任。</w:t>
      </w:r>
    </w:p>
    <w:p>
      <w:pPr>
        <w:widowControl/>
        <w:spacing w:before="100" w:beforeAutospacing="1" w:after="100" w:afterAutospacing="1"/>
        <w:ind w:firstLine="420"/>
        <w:jc w:val="left"/>
        <w:rPr>
          <w:rFonts w:ascii="宋体" w:hAnsi="宋体" w:cs="宋体"/>
          <w:kern w:val="0"/>
          <w:sz w:val="32"/>
        </w:rPr>
      </w:pPr>
      <w:r>
        <w:rPr>
          <w:rFonts w:ascii="宋体" w:hAnsi="宋体" w:cs="宋体"/>
          <w:kern w:val="0"/>
          <w:sz w:val="24"/>
          <w:szCs w:val="21"/>
        </w:rPr>
        <w:t>特此声明。</w:t>
      </w:r>
    </w:p>
    <w:p>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32"/>
        </w:rPr>
      </w:pPr>
      <w:r>
        <w:rPr>
          <w:rFonts w:ascii="宋体" w:hAnsi="宋体" w:cs="宋体"/>
          <w:kern w:val="0"/>
          <w:sz w:val="24"/>
          <w:szCs w:val="21"/>
        </w:rPr>
        <w:t>注意：投标文件正本中的本声明函应为原件。</w:t>
      </w:r>
    </w:p>
    <w:p>
      <w:pPr>
        <w:widowControl/>
        <w:spacing w:before="75" w:after="75" w:line="276" w:lineRule="auto"/>
        <w:jc w:val="left"/>
        <w:rPr>
          <w:rFonts w:hint="eastAsia" w:ascii="宋体" w:hAnsi="宋体" w:cs="宋体"/>
          <w:kern w:val="0"/>
          <w:sz w:val="24"/>
        </w:rPr>
      </w:pPr>
    </w:p>
    <w:p>
      <w:pPr>
        <w:widowControl/>
        <w:spacing w:before="75" w:after="75" w:line="276" w:lineRule="auto"/>
        <w:jc w:val="left"/>
        <w:rPr>
          <w:rFonts w:hint="eastAsia" w:ascii="宋体" w:hAnsi="宋体" w:cs="宋体"/>
          <w:kern w:val="0"/>
          <w:sz w:val="24"/>
        </w:rPr>
      </w:pPr>
    </w:p>
    <w:p>
      <w:pPr>
        <w:widowControl/>
        <w:spacing w:before="75" w:after="75" w:line="276" w:lineRule="auto"/>
        <w:jc w:val="left"/>
        <w:rPr>
          <w:rFonts w:hint="eastAsia" w:ascii="宋体" w:hAnsi="宋体" w:cs="宋体"/>
          <w:kern w:val="0"/>
          <w:sz w:val="24"/>
        </w:rPr>
      </w:pPr>
    </w:p>
    <w:p>
      <w:pPr>
        <w:widowControl/>
        <w:spacing w:before="75" w:after="75" w:line="276" w:lineRule="auto"/>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75" w:after="75" w:line="276" w:lineRule="auto"/>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75" w:after="75" w:line="276" w:lineRule="auto"/>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center"/>
        <w:rPr>
          <w:rFonts w:hint="eastAsia" w:cs="宋体"/>
          <w:kern w:val="0"/>
          <w:sz w:val="24"/>
        </w:rPr>
      </w:pPr>
    </w:p>
    <w:p>
      <w:pPr>
        <w:widowControl/>
        <w:spacing w:before="75" w:after="75" w:line="276" w:lineRule="auto"/>
        <w:jc w:val="center"/>
        <w:rPr>
          <w:rFonts w:hint="eastAsia" w:cs="宋体"/>
          <w:kern w:val="0"/>
          <w:sz w:val="24"/>
        </w:rPr>
      </w:pPr>
    </w:p>
    <w:p>
      <w:pPr>
        <w:widowControl/>
        <w:spacing w:before="75" w:after="75" w:line="276" w:lineRule="auto"/>
        <w:jc w:val="center"/>
        <w:rPr>
          <w:rFonts w:hint="eastAsia" w:cs="宋体"/>
          <w:kern w:val="0"/>
          <w:sz w:val="24"/>
        </w:rPr>
      </w:pPr>
    </w:p>
    <w:p>
      <w:pPr>
        <w:widowControl/>
        <w:spacing w:before="75" w:after="75" w:line="276" w:lineRule="auto"/>
        <w:rPr>
          <w:rFonts w:hint="eastAsia" w:cs="宋体"/>
          <w:kern w:val="0"/>
          <w:sz w:val="24"/>
        </w:rPr>
      </w:pPr>
    </w:p>
    <w:p>
      <w:pPr>
        <w:widowControl/>
        <w:spacing w:before="75" w:after="75" w:line="276" w:lineRule="auto"/>
        <w:jc w:val="center"/>
        <w:rPr>
          <w:rFonts w:hint="eastAsia" w:ascii="宋体" w:hAnsi="宋体" w:cs="宋体"/>
          <w:kern w:val="0"/>
          <w:sz w:val="24"/>
        </w:rPr>
      </w:pPr>
      <w:r>
        <w:rPr>
          <w:rFonts w:cs="宋体"/>
          <w:kern w:val="0"/>
          <w:sz w:val="24"/>
        </w:rPr>
        <w:br w:type="textWrapping"/>
      </w: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hint="eastAsia" w:ascii="宋体" w:hAnsi="宋体" w:cs="宋体"/>
          <w:kern w:val="0"/>
          <w:sz w:val="24"/>
        </w:rPr>
      </w:pPr>
    </w:p>
    <w:p>
      <w:pPr>
        <w:widowControl/>
        <w:spacing w:before="75" w:after="75" w:line="276" w:lineRule="auto"/>
        <w:jc w:val="center"/>
        <w:rPr>
          <w:rFonts w:ascii="宋体" w:hAnsi="宋体" w:cs="宋体"/>
          <w:kern w:val="0"/>
          <w:sz w:val="24"/>
        </w:rPr>
      </w:pPr>
      <w:r>
        <w:rPr>
          <w:rFonts w:ascii="宋体" w:hAnsi="宋体" w:cs="宋体"/>
          <w:kern w:val="0"/>
          <w:sz w:val="24"/>
        </w:rPr>
        <w:t>二</w:t>
      </w:r>
      <w:r>
        <w:rPr>
          <w:rFonts w:ascii="宋体" w:hAnsi="宋体" w:cs="宋体"/>
          <w:b/>
          <w:bCs/>
          <w:kern w:val="0"/>
          <w:sz w:val="24"/>
        </w:rPr>
        <w:t>-</w:t>
      </w:r>
      <w:r>
        <w:rPr>
          <w:rFonts w:hint="eastAsia" w:ascii="宋体" w:hAnsi="宋体" w:cs="宋体"/>
          <w:b/>
          <w:bCs/>
          <w:kern w:val="0"/>
          <w:sz w:val="24"/>
        </w:rPr>
        <w:t>6</w:t>
      </w:r>
      <w:r>
        <w:rPr>
          <w:rFonts w:ascii="宋体" w:hAnsi="宋体" w:cs="宋体"/>
          <w:b/>
          <w:bCs/>
          <w:kern w:val="0"/>
          <w:sz w:val="24"/>
        </w:rPr>
        <w:t>参加采购活动前三年内在经营活动中没有重大违法记录书面声明</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360" w:lineRule="auto"/>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75" w:after="75" w:line="360" w:lineRule="auto"/>
        <w:ind w:firstLine="420"/>
        <w:jc w:val="left"/>
        <w:rPr>
          <w:rFonts w:ascii="宋体" w:hAnsi="宋体" w:cs="宋体"/>
          <w:kern w:val="0"/>
          <w:sz w:val="24"/>
        </w:rPr>
      </w:pPr>
      <w:r>
        <w:rPr>
          <w:rFonts w:ascii="宋体" w:hAnsi="宋体" w:cs="宋体"/>
          <w:kern w:val="0"/>
          <w:sz w:val="24"/>
        </w:rPr>
        <w:t>参加采购活动前三年内，我方在经营活动中没有重大违法记录，</w:t>
      </w:r>
      <w:r>
        <w:rPr>
          <w:rFonts w:hint="eastAsia" w:ascii="宋体" w:hAnsi="宋体" w:cs="宋体"/>
          <w:kern w:val="0"/>
          <w:sz w:val="24"/>
        </w:rPr>
        <w:t>也</w:t>
      </w:r>
      <w:r>
        <w:rPr>
          <w:rFonts w:hint="eastAsia" w:ascii="宋体" w:hAnsi="宋体" w:cs="宋体"/>
          <w:kern w:val="0"/>
          <w:sz w:val="24"/>
          <w:lang w:eastAsia="zh-CN"/>
        </w:rPr>
        <w:t>无</w:t>
      </w:r>
      <w:r>
        <w:rPr>
          <w:rFonts w:hint="eastAsia" w:ascii="宋体" w:hAnsi="宋体" w:cs="宋体"/>
          <w:kern w:val="0"/>
          <w:sz w:val="24"/>
        </w:rPr>
        <w:t>行贿犯罪记录，</w:t>
      </w:r>
      <w:r>
        <w:rPr>
          <w:rFonts w:ascii="宋体" w:hAnsi="宋体" w:cs="宋体"/>
          <w:kern w:val="0"/>
          <w:sz w:val="24"/>
        </w:rPr>
        <w:t>否则产生不利后果由我方承担责任。</w:t>
      </w:r>
    </w:p>
    <w:p>
      <w:pPr>
        <w:widowControl/>
        <w:spacing w:before="75" w:after="75" w:line="360" w:lineRule="auto"/>
        <w:ind w:firstLine="420"/>
        <w:jc w:val="left"/>
        <w:rPr>
          <w:rFonts w:ascii="宋体" w:hAnsi="宋体" w:cs="宋体"/>
          <w:kern w:val="0"/>
          <w:sz w:val="24"/>
        </w:rPr>
      </w:pPr>
      <w:r>
        <w:rPr>
          <w:rFonts w:ascii="宋体" w:hAnsi="宋体" w:cs="宋体"/>
          <w:kern w:val="0"/>
          <w:sz w:val="24"/>
        </w:rPr>
        <w:t>特此声明。</w:t>
      </w:r>
    </w:p>
    <w:p>
      <w:pPr>
        <w:widowControl/>
        <w:spacing w:before="75" w:after="75" w:line="360" w:lineRule="auto"/>
        <w:jc w:val="left"/>
        <w:rPr>
          <w:rFonts w:ascii="宋体" w:hAnsi="宋体" w:cs="宋体"/>
          <w:kern w:val="0"/>
          <w:sz w:val="24"/>
        </w:rPr>
      </w:pPr>
      <w:r>
        <w:rPr>
          <w:rFonts w:cs="宋体"/>
          <w:kern w:val="0"/>
          <w:sz w:val="24"/>
        </w:rPr>
        <w:t> </w:t>
      </w:r>
    </w:p>
    <w:p>
      <w:pPr>
        <w:widowControl/>
        <w:spacing w:before="75" w:after="75" w:line="360" w:lineRule="auto"/>
        <w:jc w:val="left"/>
        <w:rPr>
          <w:rFonts w:ascii="宋体" w:hAnsi="宋体" w:cs="宋体"/>
          <w:kern w:val="0"/>
          <w:sz w:val="24"/>
        </w:rPr>
      </w:pPr>
      <w:r>
        <w:rPr>
          <w:rFonts w:ascii="宋体" w:hAnsi="宋体" w:cs="宋体"/>
          <w:kern w:val="0"/>
          <w:sz w:val="24"/>
        </w:rPr>
        <w:t>注意：</w:t>
      </w:r>
    </w:p>
    <w:p>
      <w:pPr>
        <w:widowControl/>
        <w:spacing w:before="75" w:after="75" w:line="360" w:lineRule="auto"/>
        <w:jc w:val="left"/>
        <w:rPr>
          <w:rFonts w:ascii="宋体" w:hAnsi="宋体" w:cs="宋体"/>
          <w:kern w:val="0"/>
          <w:sz w:val="24"/>
        </w:rPr>
      </w:pPr>
      <w:r>
        <w:rPr>
          <w:rFonts w:ascii="宋体" w:hAnsi="宋体" w:cs="宋体"/>
          <w:kern w:val="0"/>
          <w:sz w:val="24"/>
        </w:rPr>
        <w:t>1、“重大违法记录”指投标人因违法经营受到刑事处罚或责令停产停业、吊销许可证或执照、较大数额罚款等行政处罚。</w:t>
      </w:r>
    </w:p>
    <w:p>
      <w:pPr>
        <w:widowControl/>
        <w:spacing w:before="75" w:after="75" w:line="360" w:lineRule="auto"/>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、请投标人根据实际情况如实声明，否则</w:t>
      </w:r>
      <w:r>
        <w:rPr>
          <w:rFonts w:ascii="宋体" w:hAnsi="宋体" w:cs="宋体"/>
          <w:b/>
          <w:bCs/>
          <w:kern w:val="0"/>
          <w:sz w:val="24"/>
        </w:rPr>
        <w:t>视为提供虚假材料。</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75" w:after="75" w:line="276" w:lineRule="auto"/>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75" w:after="75" w:line="276" w:lineRule="auto"/>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left"/>
        <w:rPr>
          <w:rFonts w:ascii="宋体" w:hAnsi="宋体" w:cs="宋体"/>
          <w:kern w:val="0"/>
          <w:sz w:val="24"/>
        </w:rPr>
      </w:pPr>
      <w:r>
        <w:rPr>
          <w:rFonts w:ascii="宋体" w:hAnsi="宋体" w:cs="宋体"/>
          <w:kern w:val="0"/>
          <w:sz w:val="24"/>
        </w:rPr>
        <w:t> </w:t>
      </w:r>
    </w:p>
    <w:p>
      <w:pPr>
        <w:widowControl/>
        <w:spacing w:before="75" w:after="75" w:line="276" w:lineRule="auto"/>
        <w:jc w:val="left"/>
        <w:rPr>
          <w:rFonts w:hint="eastAsia" w:ascii="宋体" w:hAnsi="宋体" w:cs="宋体"/>
          <w:kern w:val="0"/>
          <w:sz w:val="24"/>
        </w:rPr>
      </w:pPr>
      <w:r>
        <w:rPr>
          <w:rFonts w:cs="宋体"/>
          <w:kern w:val="0"/>
          <w:sz w:val="24"/>
        </w:rPr>
        <w:br w:type="textWrapping"/>
      </w:r>
    </w:p>
    <w:p>
      <w:pPr>
        <w:widowControl/>
        <w:spacing w:before="75" w:after="75" w:line="276" w:lineRule="auto"/>
        <w:jc w:val="center"/>
        <w:rPr>
          <w:rFonts w:hint="eastAsia" w:cs="宋体"/>
          <w:b/>
          <w:bCs/>
          <w:kern w:val="0"/>
          <w:sz w:val="24"/>
        </w:rPr>
      </w:pPr>
      <w:r>
        <w:rPr>
          <w:rFonts w:cs="宋体"/>
          <w:b/>
          <w:bCs/>
          <w:kern w:val="0"/>
          <w:sz w:val="24"/>
        </w:rPr>
        <w:br w:type="textWrapping"/>
      </w:r>
    </w:p>
    <w:p>
      <w:pPr>
        <w:widowControl/>
        <w:spacing w:before="75" w:after="75" w:line="276" w:lineRule="auto"/>
        <w:jc w:val="center"/>
        <w:rPr>
          <w:rFonts w:hint="eastAsia" w:cs="宋体"/>
          <w:b/>
          <w:bCs/>
          <w:kern w:val="0"/>
          <w:sz w:val="24"/>
        </w:rPr>
      </w:pPr>
    </w:p>
    <w:p>
      <w:pPr>
        <w:widowControl/>
        <w:spacing w:before="75" w:after="75" w:line="276" w:lineRule="auto"/>
        <w:jc w:val="center"/>
        <w:rPr>
          <w:rFonts w:hint="eastAsia" w:cs="宋体"/>
          <w:b/>
          <w:bCs/>
          <w:kern w:val="0"/>
          <w:sz w:val="24"/>
        </w:rPr>
      </w:pPr>
    </w:p>
    <w:p>
      <w:pPr>
        <w:widowControl/>
        <w:spacing w:before="75" w:after="75" w:line="276" w:lineRule="auto"/>
        <w:jc w:val="center"/>
        <w:rPr>
          <w:rFonts w:hint="eastAsia" w:cs="宋体"/>
          <w:b/>
          <w:bCs/>
          <w:kern w:val="0"/>
          <w:sz w:val="24"/>
        </w:rPr>
      </w:pPr>
    </w:p>
    <w:p>
      <w:pPr>
        <w:widowControl/>
        <w:spacing w:before="75" w:after="75" w:line="276" w:lineRule="auto"/>
        <w:jc w:val="center"/>
        <w:rPr>
          <w:rFonts w:hint="eastAsia" w:cs="宋体"/>
          <w:b/>
          <w:bCs/>
          <w:kern w:val="0"/>
          <w:sz w:val="24"/>
        </w:rPr>
      </w:pPr>
    </w:p>
    <w:p>
      <w:pPr>
        <w:widowControl/>
        <w:spacing w:before="75" w:after="75" w:line="276" w:lineRule="auto"/>
        <w:jc w:val="center"/>
        <w:rPr>
          <w:rFonts w:hint="eastAsia" w:cs="宋体"/>
          <w:b/>
          <w:bCs/>
          <w:kern w:val="0"/>
          <w:sz w:val="24"/>
        </w:rPr>
      </w:pPr>
    </w:p>
    <w:p>
      <w:pPr>
        <w:widowControl/>
        <w:spacing w:before="75" w:after="75" w:line="276" w:lineRule="auto"/>
        <w:jc w:val="center"/>
        <w:rPr>
          <w:rFonts w:hint="eastAsia" w:cs="宋体"/>
          <w:b/>
          <w:bCs/>
          <w:kern w:val="0"/>
          <w:sz w:val="24"/>
        </w:rPr>
      </w:pPr>
    </w:p>
    <w:p>
      <w:pPr>
        <w:widowControl/>
        <w:spacing w:before="75" w:after="75" w:line="276" w:lineRule="auto"/>
        <w:jc w:val="center"/>
        <w:rPr>
          <w:rFonts w:hint="eastAsia" w:cs="宋体"/>
          <w:b/>
          <w:bCs/>
          <w:kern w:val="0"/>
          <w:sz w:val="24"/>
        </w:rPr>
      </w:pPr>
    </w:p>
    <w:p>
      <w:pPr>
        <w:pStyle w:val="9"/>
        <w:rPr>
          <w:rFonts w:hint="eastAsia"/>
        </w:rPr>
      </w:pPr>
    </w:p>
    <w:p>
      <w:pPr>
        <w:widowControl/>
        <w:spacing w:before="75" w:after="75"/>
        <w:jc w:val="center"/>
        <w:rPr>
          <w:rFonts w:hint="eastAsia" w:ascii="宋体" w:hAnsi="宋体" w:cs="宋体"/>
          <w:b/>
          <w:kern w:val="0"/>
          <w:sz w:val="24"/>
        </w:rPr>
      </w:pPr>
      <w:r>
        <w:rPr>
          <w:rFonts w:ascii="宋体" w:hAnsi="宋体" w:cs="宋体"/>
          <w:b/>
          <w:bCs/>
          <w:kern w:val="0"/>
          <w:sz w:val="24"/>
        </w:rPr>
        <w:t>二-</w:t>
      </w:r>
      <w:r>
        <w:rPr>
          <w:rFonts w:hint="eastAsia" w:ascii="宋体" w:hAnsi="宋体" w:cs="宋体"/>
          <w:b/>
          <w:bCs/>
          <w:kern w:val="0"/>
          <w:sz w:val="24"/>
        </w:rPr>
        <w:t>7</w:t>
      </w:r>
      <w:r>
        <w:rPr>
          <w:rFonts w:hint="eastAsia" w:ascii="宋体" w:hAnsi="宋体" w:cs="宋体"/>
          <w:b/>
          <w:kern w:val="0"/>
          <w:sz w:val="24"/>
        </w:rPr>
        <w:t>有无行贿犯罪情形书面说明或承诺函</w:t>
      </w: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r>
        <w:rPr>
          <w:rFonts w:hint="eastAsia" w:ascii="宋体" w:hAnsi="宋体" w:cs="宋体"/>
          <w:b/>
          <w:kern w:val="0"/>
          <w:sz w:val="24"/>
        </w:rPr>
        <w:t>格式自拟</w:t>
      </w: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line="276" w:lineRule="auto"/>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75" w:after="75" w:line="276" w:lineRule="auto"/>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75" w:after="75" w:line="276" w:lineRule="auto"/>
        <w:jc w:val="left"/>
        <w:rPr>
          <w:rFonts w:hint="eastAsia"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pStyle w:val="9"/>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line="276" w:lineRule="auto"/>
        <w:jc w:val="center"/>
        <w:rPr>
          <w:rFonts w:ascii="宋体" w:hAnsi="宋体" w:cs="宋体"/>
          <w:color w:val="auto"/>
          <w:kern w:val="0"/>
          <w:sz w:val="24"/>
        </w:rPr>
      </w:pPr>
      <w:r>
        <w:rPr>
          <w:rFonts w:hint="eastAsia" w:ascii="宋体" w:hAnsi="宋体" w:cs="宋体"/>
          <w:b/>
          <w:bCs/>
          <w:color w:val="auto"/>
          <w:kern w:val="0"/>
          <w:sz w:val="24"/>
        </w:rPr>
        <w:t>二-</w:t>
      </w:r>
      <w:r>
        <w:rPr>
          <w:rFonts w:hint="eastAsia" w:ascii="宋体" w:hAnsi="宋体" w:cs="宋体"/>
          <w:b/>
          <w:bCs/>
          <w:color w:val="auto"/>
          <w:kern w:val="0"/>
          <w:sz w:val="24"/>
          <w:lang w:val="en-US" w:eastAsia="zh-CN"/>
        </w:rPr>
        <w:t>8</w:t>
      </w:r>
      <w:r>
        <w:rPr>
          <w:rFonts w:ascii="宋体" w:hAnsi="宋体" w:cs="宋体"/>
          <w:b/>
          <w:bCs/>
          <w:color w:val="auto"/>
          <w:kern w:val="0"/>
          <w:sz w:val="24"/>
        </w:rPr>
        <w:t>信用记录查询结果</w:t>
      </w:r>
    </w:p>
    <w:p>
      <w:pPr>
        <w:widowControl/>
        <w:spacing w:before="75" w:after="75" w:line="276" w:lineRule="auto"/>
        <w:jc w:val="left"/>
        <w:rPr>
          <w:rFonts w:ascii="宋体" w:hAnsi="宋体" w:cs="宋体"/>
          <w:color w:val="auto"/>
          <w:kern w:val="0"/>
          <w:sz w:val="24"/>
        </w:rPr>
      </w:pPr>
      <w:r>
        <w:rPr>
          <w:rFonts w:ascii="宋体" w:hAnsi="宋体" w:cs="宋体"/>
          <w:color w:val="auto"/>
          <w:kern w:val="0"/>
          <w:szCs w:val="21"/>
        </w:rPr>
        <w:t> </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致：</w:t>
      </w:r>
      <w:r>
        <w:rPr>
          <w:rFonts w:ascii="宋体" w:hAnsi="宋体" w:cs="宋体"/>
          <w:color w:val="auto"/>
          <w:kern w:val="0"/>
          <w:sz w:val="24"/>
          <w:u w:val="single"/>
        </w:rPr>
        <w:t>        </w:t>
      </w:r>
    </w:p>
    <w:p>
      <w:pPr>
        <w:widowControl/>
        <w:spacing w:before="75" w:after="75" w:line="276" w:lineRule="auto"/>
        <w:ind w:firstLine="420"/>
        <w:jc w:val="left"/>
        <w:rPr>
          <w:rFonts w:ascii="宋体" w:hAnsi="宋体" w:cs="宋体"/>
          <w:color w:val="auto"/>
          <w:kern w:val="0"/>
          <w:sz w:val="24"/>
        </w:rPr>
      </w:pPr>
      <w:r>
        <w:rPr>
          <w:rFonts w:ascii="宋体" w:hAnsi="宋体" w:cs="宋体"/>
          <w:color w:val="auto"/>
          <w:kern w:val="0"/>
          <w:sz w:val="24"/>
        </w:rPr>
        <w:t>现附上截至</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r>
        <w:rPr>
          <w:rFonts w:ascii="宋体" w:hAnsi="宋体" w:cs="宋体"/>
          <w:color w:val="auto"/>
          <w:kern w:val="0"/>
          <w:sz w:val="24"/>
          <w:u w:val="single"/>
        </w:rPr>
        <w:t>   </w:t>
      </w:r>
      <w:r>
        <w:rPr>
          <w:rFonts w:ascii="宋体" w:hAnsi="宋体" w:cs="宋体"/>
          <w:color w:val="auto"/>
          <w:kern w:val="0"/>
          <w:sz w:val="24"/>
        </w:rPr>
        <w:t>时我方通过“信用中国”网站（</w:t>
      </w:r>
      <w:r>
        <w:rPr>
          <w:rFonts w:ascii="Calibri" w:hAnsi="Calibri" w:cs="宋体"/>
          <w:color w:val="auto"/>
          <w:kern w:val="0"/>
          <w:sz w:val="24"/>
        </w:rPr>
        <w:t>www.creditchina.gov.cn</w:t>
      </w:r>
      <w:r>
        <w:rPr>
          <w:rFonts w:ascii="宋体" w:hAnsi="宋体" w:cs="宋体"/>
          <w:color w:val="auto"/>
          <w:kern w:val="0"/>
          <w:sz w:val="24"/>
        </w:rPr>
        <w:t>）获取的我方信用信息查询结果</w:t>
      </w:r>
      <w:r>
        <w:rPr>
          <w:rFonts w:ascii="宋体" w:hAnsi="宋体" w:cs="宋体"/>
          <w:color w:val="auto"/>
          <w:kern w:val="0"/>
          <w:sz w:val="24"/>
          <w:u w:val="single"/>
        </w:rPr>
        <w:t>（填写具体份数）</w:t>
      </w:r>
      <w:r>
        <w:rPr>
          <w:rFonts w:ascii="宋体" w:hAnsi="宋体" w:cs="宋体"/>
          <w:color w:val="auto"/>
          <w:kern w:val="0"/>
          <w:sz w:val="24"/>
        </w:rPr>
        <w:t>份、通过中国政府采购网（www.ccgp.gov.cn）获取的我方信用信息查询结果</w:t>
      </w:r>
      <w:r>
        <w:rPr>
          <w:rFonts w:ascii="宋体" w:hAnsi="宋体" w:cs="宋体"/>
          <w:color w:val="auto"/>
          <w:kern w:val="0"/>
          <w:sz w:val="24"/>
          <w:u w:val="single"/>
        </w:rPr>
        <w:t>（填写具体份数）</w:t>
      </w:r>
      <w:r>
        <w:rPr>
          <w:rFonts w:ascii="宋体" w:hAnsi="宋体" w:cs="宋体"/>
          <w:color w:val="auto"/>
          <w:kern w:val="0"/>
          <w:sz w:val="24"/>
        </w:rPr>
        <w:t>份，上述信用信息查询结果真实有效，否则我方负全部责任。</w:t>
      </w:r>
    </w:p>
    <w:p>
      <w:pPr>
        <w:widowControl/>
        <w:spacing w:before="75" w:after="75" w:line="276" w:lineRule="auto"/>
        <w:jc w:val="left"/>
        <w:rPr>
          <w:rFonts w:ascii="宋体" w:hAnsi="宋体" w:cs="宋体"/>
          <w:color w:val="auto"/>
          <w:kern w:val="0"/>
          <w:sz w:val="24"/>
        </w:rPr>
      </w:pPr>
      <w:r>
        <w:rPr>
          <w:rFonts w:ascii="Calibri" w:hAnsi="Calibri" w:cs="宋体"/>
          <w:color w:val="auto"/>
          <w:kern w:val="0"/>
          <w:szCs w:val="21"/>
        </w:rPr>
        <w:t> </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注意：</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1、投标人应</w:t>
      </w:r>
      <w:r>
        <w:rPr>
          <w:rFonts w:ascii="宋体" w:hAnsi="宋体" w:cs="宋体"/>
          <w:b/>
          <w:bCs/>
          <w:color w:val="auto"/>
          <w:kern w:val="0"/>
          <w:sz w:val="24"/>
        </w:rPr>
        <w:t>同时提供</w:t>
      </w:r>
      <w:r>
        <w:rPr>
          <w:rFonts w:ascii="宋体" w:hAnsi="宋体" w:cs="宋体"/>
          <w:color w:val="auto"/>
          <w:kern w:val="0"/>
          <w:sz w:val="24"/>
        </w:rPr>
        <w:t>在招标文件要求的</w:t>
      </w:r>
      <w:r>
        <w:rPr>
          <w:rFonts w:hint="eastAsia" w:ascii="宋体" w:hAnsi="宋体" w:cs="宋体"/>
          <w:color w:val="auto"/>
          <w:kern w:val="0"/>
          <w:sz w:val="24"/>
        </w:rPr>
        <w:t>投标时间</w:t>
      </w:r>
      <w:r>
        <w:rPr>
          <w:rFonts w:ascii="宋体" w:hAnsi="宋体" w:cs="宋体"/>
          <w:color w:val="auto"/>
          <w:kern w:val="0"/>
          <w:sz w:val="24"/>
        </w:rPr>
        <w:t>截止前通过上述2个网站获取的信用信息查询结果，信用信息查询结果应为从上述</w:t>
      </w:r>
      <w:r>
        <w:rPr>
          <w:rFonts w:ascii="Calibri" w:hAnsi="Calibri" w:cs="宋体"/>
          <w:color w:val="auto"/>
          <w:kern w:val="0"/>
          <w:sz w:val="24"/>
        </w:rPr>
        <w:t>2</w:t>
      </w:r>
      <w:r>
        <w:rPr>
          <w:rFonts w:ascii="宋体" w:hAnsi="宋体" w:cs="宋体"/>
          <w:color w:val="auto"/>
          <w:kern w:val="0"/>
          <w:sz w:val="24"/>
        </w:rPr>
        <w:t>个网站获取的查询结果原始页面的打印件或完整截图</w:t>
      </w:r>
      <w:r>
        <w:rPr>
          <w:rFonts w:hint="eastAsia" w:ascii="宋体" w:hAnsi="宋体" w:cs="宋体"/>
          <w:color w:val="auto"/>
          <w:kern w:val="0"/>
          <w:sz w:val="24"/>
        </w:rPr>
        <w:t>。</w:t>
      </w:r>
    </w:p>
    <w:p>
      <w:pPr>
        <w:widowControl/>
        <w:spacing w:before="75" w:after="75" w:line="276" w:lineRule="auto"/>
        <w:jc w:val="left"/>
        <w:rPr>
          <w:rFonts w:hint="eastAsia" w:ascii="宋体" w:hAnsi="宋体" w:cs="宋体"/>
          <w:color w:val="auto"/>
          <w:kern w:val="0"/>
          <w:sz w:val="24"/>
        </w:rPr>
      </w:pPr>
      <w:r>
        <w:rPr>
          <w:rFonts w:hint="eastAsia" w:ascii="宋体" w:hAnsi="宋体" w:cs="宋体"/>
          <w:b/>
          <w:bCs/>
          <w:color w:val="auto"/>
          <w:kern w:val="0"/>
          <w:sz w:val="24"/>
        </w:rPr>
        <w:t>※</w:t>
      </w:r>
      <w:r>
        <w:rPr>
          <w:rFonts w:ascii="宋体" w:hAnsi="宋体" w:cs="宋体"/>
          <w:b/>
          <w:bCs/>
          <w:color w:val="auto"/>
          <w:kern w:val="0"/>
          <w:sz w:val="24"/>
        </w:rPr>
        <w:t>除上述规定外，信用记录的其他有关规定（包括但不限于：信用信息的查询渠道及截止时点、查询记录和证据留存的具体方式、使用规则等内容）</w:t>
      </w:r>
      <w:r>
        <w:rPr>
          <w:rFonts w:hint="eastAsia" w:ascii="宋体" w:hAnsi="宋体" w:cs="宋体"/>
          <w:b/>
          <w:bCs/>
          <w:color w:val="auto"/>
          <w:kern w:val="0"/>
          <w:sz w:val="24"/>
        </w:rPr>
        <w:t>。</w:t>
      </w:r>
    </w:p>
    <w:p>
      <w:pPr>
        <w:widowControl/>
        <w:spacing w:before="75" w:after="75" w:line="276" w:lineRule="auto"/>
        <w:jc w:val="left"/>
        <w:rPr>
          <w:rFonts w:ascii="宋体" w:hAnsi="宋体" w:cs="宋体"/>
          <w:color w:val="auto"/>
          <w:kern w:val="0"/>
          <w:sz w:val="24"/>
        </w:rPr>
      </w:pPr>
      <w:r>
        <w:rPr>
          <w:rFonts w:ascii="宋体" w:hAnsi="宋体" w:cs="宋体"/>
          <w:color w:val="auto"/>
          <w:kern w:val="0"/>
          <w:szCs w:val="21"/>
        </w:rPr>
        <w:t> </w:t>
      </w:r>
    </w:p>
    <w:p>
      <w:pPr>
        <w:widowControl/>
        <w:spacing w:before="75" w:after="75" w:line="276" w:lineRule="auto"/>
        <w:jc w:val="left"/>
        <w:rPr>
          <w:rFonts w:ascii="宋体" w:hAnsi="宋体" w:cs="宋体"/>
          <w:color w:val="auto"/>
          <w:kern w:val="0"/>
          <w:sz w:val="24"/>
        </w:rPr>
      </w:pPr>
      <w:r>
        <w:rPr>
          <w:rFonts w:ascii="宋体" w:hAnsi="宋体" w:cs="宋体"/>
          <w:color w:val="auto"/>
          <w:kern w:val="0"/>
          <w:szCs w:val="21"/>
        </w:rPr>
        <w:t> </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w:t>
      </w:r>
      <w:r>
        <w:rPr>
          <w:rFonts w:ascii="宋体" w:hAnsi="宋体" w:cs="宋体"/>
          <w:color w:val="auto"/>
          <w:kern w:val="0"/>
          <w:sz w:val="24"/>
          <w:u w:val="single"/>
        </w:rPr>
        <w:t>（全称并加盖单位公章）</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投标人代表签字：</w:t>
      </w:r>
      <w:r>
        <w:rPr>
          <w:rFonts w:ascii="宋体" w:hAnsi="宋体" w:cs="宋体"/>
          <w:color w:val="auto"/>
          <w:kern w:val="0"/>
          <w:sz w:val="24"/>
          <w:u w:val="single"/>
        </w:rPr>
        <w:t>         </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日期：</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b/>
          <w:kern w:val="0"/>
          <w:sz w:val="24"/>
        </w:rPr>
      </w:pPr>
    </w:p>
    <w:p>
      <w:pPr>
        <w:widowControl/>
        <w:spacing w:before="75" w:after="75"/>
        <w:jc w:val="center"/>
        <w:rPr>
          <w:rFonts w:hint="eastAsia" w:ascii="宋体" w:hAnsi="宋体" w:cs="宋体"/>
          <w:kern w:val="0"/>
          <w:sz w:val="24"/>
        </w:rPr>
      </w:pPr>
    </w:p>
    <w:p>
      <w:pPr>
        <w:pStyle w:val="9"/>
        <w:rPr>
          <w:rFonts w:hint="eastAsia" w:ascii="宋体" w:hAnsi="宋体" w:cs="宋体"/>
          <w:kern w:val="0"/>
          <w:sz w:val="24"/>
        </w:rPr>
      </w:pPr>
    </w:p>
    <w:p>
      <w:pPr>
        <w:pStyle w:val="9"/>
        <w:rPr>
          <w:rFonts w:hint="eastAsia" w:ascii="宋体" w:hAnsi="宋体" w:cs="宋体"/>
          <w:kern w:val="0"/>
          <w:sz w:val="24"/>
        </w:rPr>
      </w:pPr>
    </w:p>
    <w:p>
      <w:pPr>
        <w:widowControl/>
        <w:spacing w:before="75" w:after="75"/>
        <w:jc w:val="center"/>
        <w:rPr>
          <w:rFonts w:hint="eastAsia" w:ascii="宋体" w:hAnsi="宋体" w:cs="宋体"/>
          <w:kern w:val="0"/>
          <w:sz w:val="24"/>
        </w:rPr>
      </w:pPr>
    </w:p>
    <w:p>
      <w:pPr>
        <w:widowControl/>
        <w:spacing w:before="75" w:after="75"/>
        <w:jc w:val="center"/>
        <w:rPr>
          <w:rFonts w:hint="eastAsia" w:ascii="宋体" w:hAnsi="宋体" w:cs="宋体"/>
          <w:kern w:val="0"/>
          <w:sz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二-</w:t>
      </w:r>
      <w:r>
        <w:rPr>
          <w:rStyle w:val="20"/>
          <w:rFonts w:hint="eastAsia" w:asciiTheme="majorEastAsia" w:hAnsiTheme="majorEastAsia" w:eastAsiaTheme="majorEastAsia" w:cstheme="majorEastAsia"/>
          <w:color w:val="auto"/>
          <w:sz w:val="24"/>
          <w:szCs w:val="24"/>
          <w:lang w:val="en-US" w:eastAsia="zh-CN"/>
        </w:rPr>
        <w:t>9</w:t>
      </w:r>
      <w:r>
        <w:rPr>
          <w:rStyle w:val="20"/>
          <w:rFonts w:hint="eastAsia" w:asciiTheme="majorEastAsia" w:hAnsiTheme="majorEastAsia" w:eastAsiaTheme="majorEastAsia" w:cstheme="majorEastAsia"/>
          <w:color w:val="auto"/>
          <w:sz w:val="24"/>
          <w:szCs w:val="24"/>
        </w:rPr>
        <w:t>中小企业声明函</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（专门面向中小企业或小型、微型企业适用，若有）</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本投标人郑重声明，根据《政府采购促进中小企业发展暂行办法》（财库[2011]181号）的规定，本投标人为</w:t>
      </w:r>
      <w:r>
        <w:rPr>
          <w:rFonts w:hint="eastAsia" w:asciiTheme="majorEastAsia" w:hAnsiTheme="majorEastAsia" w:eastAsiaTheme="majorEastAsia" w:cstheme="majorEastAsia"/>
          <w:color w:val="auto"/>
          <w:sz w:val="24"/>
          <w:szCs w:val="24"/>
          <w:u w:val="single"/>
        </w:rPr>
        <w:t>（填写“中型/小型/微型”）</w:t>
      </w:r>
      <w:r>
        <w:rPr>
          <w:rFonts w:hint="eastAsia" w:asciiTheme="majorEastAsia" w:hAnsiTheme="majorEastAsia" w:eastAsiaTheme="majorEastAsia" w:cstheme="majorEastAsia"/>
          <w:color w:val="auto"/>
          <w:sz w:val="24"/>
          <w:szCs w:val="24"/>
        </w:rPr>
        <w:t>企业。即本投标人同时满足以下条件：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1、根据《工业和信息化部、国家统计局、国家发展和改革委员会、财政部关于印发中小企业划型标准规定的通知》（工信部联企业[2011]300号）规定的划分标准，本投标人为</w:t>
      </w:r>
      <w:r>
        <w:rPr>
          <w:rFonts w:hint="eastAsia" w:asciiTheme="majorEastAsia" w:hAnsiTheme="majorEastAsia" w:eastAsiaTheme="majorEastAsia" w:cstheme="majorEastAsia"/>
          <w:color w:val="auto"/>
          <w:sz w:val="24"/>
          <w:szCs w:val="24"/>
          <w:u w:val="single"/>
        </w:rPr>
        <w:t>  （填写“中型/小型/微型”）</w:t>
      </w:r>
      <w:r>
        <w:rPr>
          <w:rFonts w:hint="eastAsia" w:asciiTheme="majorEastAsia" w:hAnsiTheme="majorEastAsia" w:eastAsiaTheme="majorEastAsia" w:cstheme="majorEastAsia"/>
          <w:color w:val="auto"/>
          <w:sz w:val="24"/>
          <w:szCs w:val="24"/>
        </w:rPr>
        <w:t>企业。</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2、本投标人参加贵单位组织的</w:t>
      </w:r>
      <w:r>
        <w:rPr>
          <w:rFonts w:hint="eastAsia" w:asciiTheme="majorEastAsia" w:hAnsiTheme="majorEastAsia" w:eastAsiaTheme="majorEastAsia" w:cstheme="majorEastAsia"/>
          <w:color w:val="auto"/>
          <w:sz w:val="24"/>
          <w:szCs w:val="24"/>
          <w:u w:val="single"/>
        </w:rPr>
        <w:t xml:space="preserve"> （填写“项目名称”） </w:t>
      </w:r>
      <w:r>
        <w:rPr>
          <w:rFonts w:hint="eastAsia" w:asciiTheme="majorEastAsia" w:hAnsiTheme="majorEastAsia" w:eastAsiaTheme="majorEastAsia" w:cstheme="majorEastAsia"/>
          <w:color w:val="auto"/>
          <w:sz w:val="24"/>
          <w:szCs w:val="24"/>
        </w:rPr>
        <w:t>项目采购活动，其中：</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①货物（不包括使用大型企业注册商标的货物）：</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）提供本投标人制造的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货物；或</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）提供其他</w:t>
      </w:r>
      <w:r>
        <w:rPr>
          <w:rFonts w:hint="eastAsia" w:asciiTheme="majorEastAsia" w:hAnsiTheme="majorEastAsia" w:eastAsiaTheme="majorEastAsia" w:cstheme="majorEastAsia"/>
          <w:color w:val="auto"/>
          <w:sz w:val="24"/>
          <w:szCs w:val="24"/>
          <w:u w:val="single"/>
        </w:rPr>
        <w:t>（填写“中型/小型/微型”）</w:t>
      </w:r>
      <w:r>
        <w:rPr>
          <w:rFonts w:hint="eastAsia" w:asciiTheme="majorEastAsia" w:hAnsiTheme="majorEastAsia" w:eastAsiaTheme="majorEastAsia" w:cstheme="majorEastAsia"/>
          <w:color w:val="auto"/>
          <w:sz w:val="24"/>
          <w:szCs w:val="24"/>
        </w:rPr>
        <w:t>企业制造的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货物。</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②工程：</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）由本投标人承担的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工程。</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③服务：</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）由本投标人提供的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服务。</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本投标人对上述声明的真实性负责。如有虚假，将依法承担相应责任。</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★注意：</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1、请投标人按照实际情况编制填写本声明函，并在相应的（）中打“√”。</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3、投标人为监狱企业的，可不填写本声明函，根据其提供的由省级以上监狱管理局、戒毒管理局（含新疆生产建设兵团）出具的属于监狱企业的证明文件进行认定，监狱企业视同小型、微型企业。</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4、投标人为残疾人福利性单位的，可不填写本声明函，根据其提供的《残疾人福利性单位声明函》（格式附后）进行认定，残疾人福利性单位视同小型、微型企业。</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5、纸质投标文件正本中的本声明函（若有）应为原件。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6、若《中小企业声明函》（包括本格式第3、4条规定的证明文件及声明函）内容不真实，</w:t>
      </w:r>
      <w:r>
        <w:rPr>
          <w:rStyle w:val="20"/>
          <w:rFonts w:hint="eastAsia" w:asciiTheme="majorEastAsia" w:hAnsiTheme="majorEastAsia" w:eastAsiaTheme="majorEastAsia" w:cstheme="majorEastAsia"/>
          <w:color w:val="auto"/>
          <w:sz w:val="24"/>
          <w:szCs w:val="24"/>
        </w:rPr>
        <w:t>视为提供虚假材料。</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w:t>
      </w:r>
      <w:r>
        <w:rPr>
          <w:rFonts w:hint="eastAsia" w:asciiTheme="majorEastAsia" w:hAnsiTheme="majorEastAsia" w:eastAsiaTheme="majorEastAsia" w:cstheme="majorEastAsia"/>
          <w:color w:val="auto"/>
          <w:sz w:val="24"/>
          <w:szCs w:val="24"/>
          <w:u w:val="single"/>
        </w:rPr>
        <w:t>（全称并加盖单位公章）</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投标人代表签字：</w:t>
      </w:r>
      <w:r>
        <w:rPr>
          <w:rFonts w:hint="eastAsia" w:asciiTheme="majorEastAsia" w:hAnsiTheme="majorEastAsia" w:eastAsiaTheme="majorEastAsia" w:cstheme="majorEastAsia"/>
          <w:color w:val="auto"/>
          <w:sz w:val="24"/>
          <w:szCs w:val="24"/>
          <w:u w:val="single"/>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日期：</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日</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附：</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残疾人福利性单位声明函</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（专门面向中小企业或小型、微型企业适用，若有）</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Theme="majorEastAsia" w:hAnsiTheme="majorEastAsia" w:eastAsiaTheme="majorEastAsia" w:cstheme="majorEastAsia"/>
          <w:color w:val="auto"/>
          <w:sz w:val="24"/>
          <w:szCs w:val="24"/>
          <w:u w:val="single"/>
        </w:rPr>
        <w:t>（填写“项目名称”）</w:t>
      </w:r>
      <w:r>
        <w:rPr>
          <w:rFonts w:hint="eastAsia" w:asciiTheme="majorEastAsia" w:hAnsiTheme="majorEastAsia" w:eastAsiaTheme="majorEastAsia" w:cstheme="majorEastAsia"/>
          <w:color w:val="auto"/>
          <w:sz w:val="24"/>
          <w:szCs w:val="24"/>
        </w:rPr>
        <w:t>项目采购活动：</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）提供本投标人制造的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货物，</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）由本投标人承担的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工程，</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）由本投标人提供的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服务；或</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）提供其他残疾人福利性单位制造的</w:t>
      </w:r>
      <w:r>
        <w:rPr>
          <w:rFonts w:hint="eastAsia" w:asciiTheme="majorEastAsia" w:hAnsiTheme="majorEastAsia" w:eastAsiaTheme="majorEastAsia" w:cstheme="majorEastAsia"/>
          <w:color w:val="auto"/>
          <w:sz w:val="24"/>
          <w:szCs w:val="24"/>
          <w:u w:val="single"/>
        </w:rPr>
        <w:t>（填写“所投合同包、品目号”）</w:t>
      </w:r>
      <w:r>
        <w:rPr>
          <w:rFonts w:hint="eastAsia" w:asciiTheme="majorEastAsia" w:hAnsiTheme="majorEastAsia" w:eastAsiaTheme="majorEastAsia" w:cstheme="majorEastAsia"/>
          <w:color w:val="auto"/>
          <w:sz w:val="24"/>
          <w:szCs w:val="24"/>
        </w:rPr>
        <w:t>货物（不包括使用非残疾人福利性单位注册商标的货物）。</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本投标人对上述声明的真实性负责。如有虚假，将依法承担相应责任。</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★注意：</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1、请投标人按照实际情况编制填写本声明函，并在相应的（）中打“√”。</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2、纸质投标文件正本中的本声明函（若有）应为原件。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3、若《残疾人福利性单位声明函》内容不真实，</w:t>
      </w:r>
      <w:r>
        <w:rPr>
          <w:rStyle w:val="20"/>
          <w:rFonts w:hint="eastAsia" w:asciiTheme="majorEastAsia" w:hAnsiTheme="majorEastAsia" w:eastAsiaTheme="majorEastAsia" w:cstheme="majorEastAsia"/>
          <w:color w:val="auto"/>
          <w:sz w:val="24"/>
          <w:szCs w:val="24"/>
        </w:rPr>
        <w:t>视为提供虚假材料。</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w:t>
      </w:r>
      <w:r>
        <w:rPr>
          <w:rFonts w:hint="eastAsia" w:asciiTheme="majorEastAsia" w:hAnsiTheme="majorEastAsia" w:eastAsiaTheme="majorEastAsia" w:cstheme="majorEastAsia"/>
          <w:color w:val="auto"/>
          <w:sz w:val="24"/>
          <w:szCs w:val="24"/>
          <w:u w:val="single"/>
        </w:rPr>
        <w:t>（全称并加盖单位公章）</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投标人代表签字：</w:t>
      </w:r>
      <w:r>
        <w:rPr>
          <w:rFonts w:hint="eastAsia" w:asciiTheme="majorEastAsia" w:hAnsiTheme="majorEastAsia" w:eastAsiaTheme="majorEastAsia" w:cstheme="majorEastAsia"/>
          <w:color w:val="auto"/>
          <w:sz w:val="24"/>
          <w:szCs w:val="24"/>
          <w:u w:val="single"/>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日期：</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日</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Style w:val="20"/>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二-</w:t>
      </w:r>
      <w:r>
        <w:rPr>
          <w:rStyle w:val="20"/>
          <w:rFonts w:hint="eastAsia" w:asciiTheme="majorEastAsia" w:hAnsiTheme="majorEastAsia" w:eastAsiaTheme="majorEastAsia" w:cstheme="majorEastAsia"/>
          <w:color w:val="auto"/>
          <w:sz w:val="24"/>
          <w:szCs w:val="24"/>
          <w:lang w:val="en-US" w:eastAsia="zh-CN"/>
        </w:rPr>
        <w:t>10</w:t>
      </w:r>
      <w:r>
        <w:rPr>
          <w:rStyle w:val="20"/>
          <w:rFonts w:hint="eastAsia" w:asciiTheme="majorEastAsia" w:hAnsiTheme="majorEastAsia" w:eastAsiaTheme="majorEastAsia" w:cstheme="majorEastAsia"/>
          <w:color w:val="auto"/>
          <w:sz w:val="24"/>
          <w:szCs w:val="24"/>
        </w:rPr>
        <w:t>其他资格证明文件（若有）</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二</w:t>
      </w:r>
      <w:r>
        <w:rPr>
          <w:rStyle w:val="20"/>
          <w:rFonts w:hint="eastAsia" w:asciiTheme="majorEastAsia" w:hAnsiTheme="majorEastAsia" w:eastAsiaTheme="majorEastAsia" w:cstheme="majorEastAsia"/>
          <w:color w:val="auto"/>
          <w:sz w:val="24"/>
          <w:szCs w:val="24"/>
        </w:rPr>
        <w:t>-</w:t>
      </w:r>
      <w:r>
        <w:rPr>
          <w:rStyle w:val="20"/>
          <w:rFonts w:hint="eastAsia" w:asciiTheme="majorEastAsia" w:hAnsiTheme="majorEastAsia" w:eastAsiaTheme="majorEastAsia" w:cstheme="majorEastAsia"/>
          <w:color w:val="auto"/>
          <w:sz w:val="24"/>
          <w:szCs w:val="24"/>
          <w:lang w:val="en-US" w:eastAsia="zh-CN"/>
        </w:rPr>
        <w:t>10-</w:t>
      </w:r>
      <w:r>
        <w:rPr>
          <w:rStyle w:val="20"/>
          <w:rFonts w:hint="eastAsia" w:asciiTheme="majorEastAsia" w:hAnsiTheme="majorEastAsia" w:eastAsiaTheme="majorEastAsia" w:cstheme="majorEastAsia"/>
          <w:color w:val="auto"/>
          <w:sz w:val="24"/>
          <w:szCs w:val="24"/>
        </w:rPr>
        <w:t>①具备履行合同所必需设备和专业技术能力专项证明材料（若有）</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致：</w:t>
      </w:r>
      <w:r>
        <w:rPr>
          <w:rFonts w:hint="eastAsia" w:asciiTheme="majorEastAsia" w:hAnsiTheme="majorEastAsia" w:eastAsiaTheme="majorEastAsia" w:cstheme="majorEastAsia"/>
          <w:color w:val="auto"/>
          <w:sz w:val="24"/>
          <w:szCs w:val="24"/>
          <w:u w:val="single"/>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现附上我方具备履行合同所必需的设备和专业技术能力的专项证明材料复印件（具体附后），上述证明材料真实有效，否则我方负全部责任。</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★注意：</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1、招标文件要求投标人提供“具备履行合同所必需的设备和专业技术能力专项证明材料”的，投标人应按照招标文件规定在此项下提供相应证明材料复印件。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2、投标人提供的相应证明材料复印件均应符合：内容完整、清晰、整洁，并由投标人加盖其单位公章。</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w:t>
      </w:r>
      <w:r>
        <w:rPr>
          <w:rFonts w:hint="eastAsia" w:asciiTheme="majorEastAsia" w:hAnsiTheme="majorEastAsia" w:eastAsiaTheme="majorEastAsia" w:cstheme="majorEastAsia"/>
          <w:color w:val="auto"/>
          <w:sz w:val="24"/>
          <w:szCs w:val="24"/>
          <w:u w:val="single"/>
        </w:rPr>
        <w:t>（全称并加盖单位公章）</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投标人代表签字：</w:t>
      </w:r>
      <w:r>
        <w:rPr>
          <w:rFonts w:hint="eastAsia" w:asciiTheme="majorEastAsia" w:hAnsiTheme="majorEastAsia" w:eastAsiaTheme="majorEastAsia" w:cstheme="majorEastAsia"/>
          <w:color w:val="auto"/>
          <w:sz w:val="24"/>
          <w:szCs w:val="24"/>
          <w:u w:val="single"/>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日期：</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u w:val="single"/>
        </w:rPr>
        <w:t>   </w:t>
      </w:r>
      <w:r>
        <w:rPr>
          <w:rFonts w:hint="eastAsia" w:asciiTheme="majorEastAsia" w:hAnsiTheme="majorEastAsia" w:eastAsiaTheme="majorEastAsia" w:cstheme="majorEastAsia"/>
          <w:color w:val="auto"/>
          <w:sz w:val="24"/>
          <w:szCs w:val="24"/>
        </w:rPr>
        <w:t>日</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Style w:val="20"/>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二-</w:t>
      </w:r>
      <w:r>
        <w:rPr>
          <w:rStyle w:val="20"/>
          <w:rFonts w:hint="eastAsia" w:asciiTheme="majorEastAsia" w:hAnsiTheme="majorEastAsia" w:eastAsiaTheme="majorEastAsia" w:cstheme="majorEastAsia"/>
          <w:color w:val="auto"/>
          <w:sz w:val="24"/>
          <w:szCs w:val="24"/>
          <w:lang w:val="en-US" w:eastAsia="zh-CN"/>
        </w:rPr>
        <w:t>10</w:t>
      </w:r>
      <w:r>
        <w:rPr>
          <w:rStyle w:val="20"/>
          <w:rFonts w:hint="eastAsia" w:asciiTheme="majorEastAsia" w:hAnsiTheme="majorEastAsia" w:eastAsiaTheme="majorEastAsia" w:cstheme="majorEastAsia"/>
          <w:color w:val="auto"/>
          <w:sz w:val="24"/>
          <w:szCs w:val="24"/>
        </w:rPr>
        <w:t>-②招标文件规定的其他资格证明文件（若有）</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编制说明</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ind w:left="0" w:firstLine="42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除招标文件另有规定外，招标文件要求提交的除前述资格证明文件外的其他资格证明文件（若有）加盖投标人的单位公章后应在此项下提交。</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Style w:val="20"/>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三</w:t>
      </w:r>
      <w:r>
        <w:rPr>
          <w:rStyle w:val="20"/>
          <w:rFonts w:hint="eastAsia" w:asciiTheme="majorEastAsia" w:hAnsiTheme="majorEastAsia" w:eastAsiaTheme="majorEastAsia" w:cstheme="majorEastAsia"/>
          <w:color w:val="auto"/>
          <w:sz w:val="24"/>
          <w:szCs w:val="24"/>
        </w:rPr>
        <w:t>、投标保证金</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编制说明</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1、在此项下提交的</w:t>
      </w:r>
      <w:r>
        <w:rPr>
          <w:rStyle w:val="20"/>
          <w:rFonts w:hint="eastAsia" w:asciiTheme="majorEastAsia" w:hAnsiTheme="majorEastAsia" w:eastAsiaTheme="majorEastAsia" w:cstheme="majorEastAsia"/>
          <w:color w:val="auto"/>
          <w:sz w:val="24"/>
          <w:szCs w:val="24"/>
        </w:rPr>
        <w:t>“投标保证金”</w:t>
      </w:r>
      <w:r>
        <w:rPr>
          <w:rFonts w:hint="eastAsia" w:asciiTheme="majorEastAsia" w:hAnsiTheme="majorEastAsia" w:eastAsiaTheme="majorEastAsia" w:cstheme="majorEastAsia"/>
          <w:color w:val="auto"/>
          <w:sz w:val="24"/>
          <w:szCs w:val="24"/>
        </w:rPr>
        <w:t>材料可使用转账凭证复印件或从福建省政府采购网上公开信息系统中下载的有关原始页面的打印件。</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2、投标保证金是否已提交的认定按照招标文件第三章规定执行。</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w:t>
      </w:r>
    </w:p>
    <w:p>
      <w:pPr>
        <w:pStyle w:val="15"/>
        <w:keepNext w:val="0"/>
        <w:keepLines w:val="0"/>
        <w:pageBreakBefore w:val="0"/>
        <w:widowControl/>
        <w:suppressLineNumbers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color w:val="auto"/>
          <w:sz w:val="24"/>
          <w:szCs w:val="24"/>
        </w:rPr>
      </w:pPr>
    </w:p>
    <w:p>
      <w:pPr>
        <w:widowControl/>
        <w:spacing w:before="75" w:after="75"/>
        <w:jc w:val="center"/>
        <w:rPr>
          <w:rFonts w:ascii="宋体" w:cs="宋体"/>
          <w:b/>
          <w:bCs/>
          <w:color w:val="auto"/>
          <w:kern w:val="0"/>
          <w:sz w:val="24"/>
        </w:rPr>
      </w:pPr>
    </w:p>
    <w:p>
      <w:pPr>
        <w:widowControl/>
        <w:spacing w:before="75" w:after="75"/>
        <w:jc w:val="center"/>
        <w:rPr>
          <w:rFonts w:ascii="宋体" w:cs="宋体"/>
          <w:b/>
          <w:bCs/>
          <w:color w:val="auto"/>
          <w:kern w:val="0"/>
          <w:sz w:val="24"/>
        </w:rPr>
      </w:pPr>
    </w:p>
    <w:p>
      <w:pPr>
        <w:widowControl/>
        <w:spacing w:before="75" w:after="75"/>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ind w:left="0" w:leftChars="0" w:firstLine="0" w:firstLineChars="0"/>
        <w:rPr>
          <w:rFonts w:ascii="宋体" w:cs="宋体"/>
          <w:b/>
          <w:bCs/>
          <w:color w:val="auto"/>
          <w:kern w:val="0"/>
          <w:sz w:val="24"/>
        </w:rPr>
      </w:pPr>
    </w:p>
    <w:p>
      <w:pPr>
        <w:widowControl/>
        <w:spacing w:before="75" w:after="75"/>
        <w:rPr>
          <w:rFonts w:ascii="宋体" w:cs="宋体"/>
          <w:color w:val="auto"/>
          <w:kern w:val="0"/>
          <w:sz w:val="24"/>
        </w:rPr>
      </w:pPr>
      <w:r>
        <w:rPr>
          <w:rFonts w:hint="eastAsia" w:ascii="宋体" w:hAnsi="宋体" w:cs="宋体"/>
          <w:b/>
          <w:bCs/>
          <w:color w:val="auto"/>
          <w:kern w:val="0"/>
          <w:sz w:val="24"/>
        </w:rPr>
        <w:t>封面格式</w:t>
      </w:r>
    </w:p>
    <w:p>
      <w:pPr>
        <w:widowControl/>
        <w:spacing w:before="75" w:after="75"/>
        <w:jc w:val="left"/>
        <w:rPr>
          <w:rFonts w:ascii="宋体" w:cs="宋体"/>
          <w:color w:val="auto"/>
          <w:kern w:val="0"/>
          <w:sz w:val="44"/>
          <w:szCs w:val="44"/>
        </w:rPr>
      </w:pPr>
    </w:p>
    <w:p>
      <w:pPr>
        <w:widowControl/>
        <w:spacing w:before="75" w:after="75"/>
        <w:rPr>
          <w:rFonts w:ascii="宋体" w:cs="宋体"/>
          <w:b/>
          <w:bCs/>
          <w:color w:val="auto"/>
          <w:kern w:val="0"/>
          <w:sz w:val="52"/>
          <w:szCs w:val="52"/>
        </w:rPr>
      </w:pPr>
    </w:p>
    <w:p>
      <w:pPr>
        <w:widowControl/>
        <w:spacing w:before="75" w:after="75"/>
        <w:jc w:val="center"/>
        <w:rPr>
          <w:rFonts w:ascii="宋体" w:cs="宋体"/>
          <w:color w:val="auto"/>
          <w:kern w:val="0"/>
          <w:sz w:val="52"/>
          <w:szCs w:val="52"/>
        </w:rPr>
      </w:pPr>
      <w:r>
        <w:rPr>
          <w:rFonts w:hint="eastAsia" w:ascii="宋体" w:hAnsi="宋体" w:cs="宋体"/>
          <w:b/>
          <w:bCs/>
          <w:color w:val="auto"/>
          <w:kern w:val="0"/>
          <w:sz w:val="52"/>
          <w:szCs w:val="52"/>
        </w:rPr>
        <w:t>投标文件</w:t>
      </w:r>
    </w:p>
    <w:p>
      <w:pPr>
        <w:widowControl/>
        <w:spacing w:before="75" w:after="75"/>
        <w:jc w:val="center"/>
        <w:rPr>
          <w:rFonts w:ascii="宋体" w:cs="宋体"/>
          <w:color w:val="auto"/>
          <w:kern w:val="0"/>
          <w:sz w:val="52"/>
          <w:szCs w:val="52"/>
        </w:rPr>
      </w:pPr>
      <w:r>
        <w:rPr>
          <w:rFonts w:hint="eastAsia" w:ascii="宋体" w:hAnsi="宋体" w:cs="宋体"/>
          <w:b/>
          <w:bCs/>
          <w:color w:val="auto"/>
          <w:kern w:val="0"/>
          <w:sz w:val="52"/>
          <w:szCs w:val="52"/>
        </w:rPr>
        <w:t>（报价部分）</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（填写正本或副本）</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ind w:firstLine="1920"/>
        <w:jc w:val="left"/>
        <w:rPr>
          <w:rFonts w:ascii="宋体" w:cs="宋体"/>
          <w:color w:val="auto"/>
          <w:kern w:val="0"/>
          <w:sz w:val="32"/>
          <w:szCs w:val="32"/>
        </w:rPr>
      </w:pPr>
      <w:r>
        <w:rPr>
          <w:rFonts w:hint="eastAsia" w:ascii="宋体" w:hAnsi="宋体" w:cs="宋体"/>
          <w:b/>
          <w:bCs/>
          <w:color w:val="auto"/>
          <w:kern w:val="0"/>
          <w:sz w:val="32"/>
          <w:szCs w:val="32"/>
        </w:rPr>
        <w:t>项目名称：（由投标人填写）</w:t>
      </w:r>
    </w:p>
    <w:p>
      <w:pPr>
        <w:widowControl/>
        <w:spacing w:before="75" w:after="75"/>
        <w:ind w:firstLine="1920"/>
        <w:jc w:val="left"/>
        <w:rPr>
          <w:rFonts w:ascii="宋体" w:cs="宋体"/>
          <w:color w:val="auto"/>
          <w:kern w:val="0"/>
          <w:sz w:val="32"/>
          <w:szCs w:val="32"/>
        </w:rPr>
      </w:pPr>
      <w:r>
        <w:rPr>
          <w:rFonts w:hint="eastAsia" w:ascii="宋体" w:hAnsi="宋体" w:cs="宋体"/>
          <w:b/>
          <w:bCs/>
          <w:color w:val="auto"/>
          <w:kern w:val="0"/>
          <w:sz w:val="32"/>
          <w:szCs w:val="32"/>
        </w:rPr>
        <w:t>招标编号：（由投标人填写）</w:t>
      </w:r>
    </w:p>
    <w:p>
      <w:pPr>
        <w:widowControl/>
        <w:spacing w:before="75" w:after="75"/>
        <w:ind w:firstLine="1920"/>
        <w:jc w:val="left"/>
        <w:rPr>
          <w:rFonts w:ascii="宋体" w:cs="宋体"/>
          <w:color w:val="auto"/>
          <w:kern w:val="0"/>
          <w:sz w:val="32"/>
          <w:szCs w:val="32"/>
        </w:rPr>
      </w:pPr>
      <w:r>
        <w:rPr>
          <w:rFonts w:hint="eastAsia" w:ascii="宋体" w:hAnsi="宋体" w:cs="宋体"/>
          <w:b/>
          <w:bCs/>
          <w:color w:val="auto"/>
          <w:kern w:val="0"/>
          <w:sz w:val="32"/>
          <w:szCs w:val="32"/>
        </w:rPr>
        <w:t>所投合同包：（由投标人填写）</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投标人：（填写“全称”）</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（由投标人填写）年（由投标人填写）月</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r>
        <w:rPr>
          <w:rFonts w:ascii="宋体" w:cs="宋体"/>
          <w:color w:val="auto"/>
          <w:kern w:val="0"/>
          <w:sz w:val="24"/>
        </w:rPr>
        <w:br w:type="textWrapping"/>
      </w:r>
      <w:r>
        <w:rPr>
          <w:rFonts w:hint="eastAsia" w:ascii="宋体" w:hAnsi="宋体" w:cs="宋体"/>
          <w:b/>
          <w:bCs/>
          <w:color w:val="auto"/>
          <w:kern w:val="0"/>
          <w:sz w:val="24"/>
        </w:rPr>
        <w:t>一、开标一览表</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招标编号：</w:t>
      </w:r>
      <w:r>
        <w:rPr>
          <w:rFonts w:ascii="宋体" w:cs="宋体"/>
          <w:color w:val="auto"/>
          <w:kern w:val="0"/>
          <w:sz w:val="24"/>
        </w:rPr>
        <w:t>                   </w:t>
      </w:r>
    </w:p>
    <w:p>
      <w:pPr>
        <w:widowControl/>
        <w:spacing w:before="75" w:after="75"/>
        <w:jc w:val="right"/>
        <w:rPr>
          <w:rFonts w:hint="eastAsia" w:ascii="宋体" w:hAnsi="宋体" w:cs="宋体"/>
          <w:color w:val="auto"/>
          <w:kern w:val="0"/>
          <w:sz w:val="24"/>
        </w:rPr>
      </w:pPr>
      <w:r>
        <w:rPr>
          <w:rFonts w:hint="eastAsia" w:ascii="宋体" w:hAnsi="宋体" w:cs="宋体"/>
          <w:color w:val="auto"/>
          <w:kern w:val="0"/>
          <w:sz w:val="24"/>
        </w:rPr>
        <w:t>货币及单位：人民币元</w:t>
      </w:r>
    </w:p>
    <w:p>
      <w:pPr>
        <w:pStyle w:val="15"/>
        <w:keepNext w:val="0"/>
        <w:keepLines w:val="0"/>
        <w:widowControl/>
        <w:suppressLineNumbers w:val="0"/>
        <w:jc w:val="right"/>
      </w:pPr>
    </w:p>
    <w:tbl>
      <w:tblPr>
        <w:tblStyle w:val="16"/>
        <w:tblW w:w="9518"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22"/>
        <w:gridCol w:w="5720"/>
        <w:gridCol w:w="703"/>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合同包</w:t>
            </w:r>
          </w:p>
        </w:tc>
        <w:tc>
          <w:tcPr>
            <w:tcW w:w="5670"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投标报价</w:t>
            </w:r>
          </w:p>
        </w:tc>
        <w:tc>
          <w:tcPr>
            <w:tcW w:w="675"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投标</w:t>
            </w:r>
          </w:p>
          <w:p>
            <w:pPr>
              <w:pStyle w:val="15"/>
              <w:keepNext w:val="0"/>
              <w:keepLines w:val="0"/>
              <w:widowControl/>
              <w:suppressLineNumbers w:val="0"/>
              <w:jc w:val="center"/>
            </w:pPr>
            <w:r>
              <w:rPr>
                <w:rFonts w:hint="eastAsia" w:ascii="宋体" w:hAnsi="宋体" w:eastAsia="宋体" w:cs="宋体"/>
                <w:sz w:val="21"/>
                <w:szCs w:val="21"/>
              </w:rPr>
              <w:t>保证金</w:t>
            </w:r>
          </w:p>
        </w:tc>
        <w:tc>
          <w:tcPr>
            <w:tcW w:w="2040"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98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w:t>
            </w:r>
          </w:p>
        </w:tc>
        <w:tc>
          <w:tcPr>
            <w:tcW w:w="5670" w:type="dxa"/>
            <w:noWrap w:val="0"/>
            <w:tcMar>
              <w:top w:w="0" w:type="dxa"/>
              <w:left w:w="105" w:type="dxa"/>
              <w:bottom w:w="0" w:type="dxa"/>
              <w:right w:w="105" w:type="dxa"/>
            </w:tcMar>
            <w:vAlign w:val="center"/>
          </w:tcPr>
          <w:p>
            <w:pPr>
              <w:pStyle w:val="15"/>
              <w:keepNext w:val="0"/>
              <w:keepLines w:val="0"/>
              <w:widowControl/>
              <w:suppressLineNumbers w:val="0"/>
              <w:jc w:val="left"/>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75" w:type="dxa"/>
            <w:noWrap w:val="0"/>
            <w:tcMar>
              <w:top w:w="0" w:type="dxa"/>
              <w:left w:w="105" w:type="dxa"/>
              <w:bottom w:w="0" w:type="dxa"/>
              <w:right w:w="105" w:type="dxa"/>
            </w:tcMar>
            <w:vAlign w:val="center"/>
          </w:tcPr>
          <w:p>
            <w:pPr>
              <w:keepNext w:val="0"/>
              <w:keepLines w:val="0"/>
              <w:widowControl/>
              <w:suppressLineNumbers w:val="0"/>
              <w:jc w:val="left"/>
            </w:pPr>
          </w:p>
        </w:tc>
        <w:tc>
          <w:tcPr>
            <w:tcW w:w="2040" w:type="dxa"/>
            <w:vMerge w:val="restart"/>
            <w:noWrap w:val="0"/>
            <w:tcMar>
              <w:top w:w="0" w:type="dxa"/>
              <w:left w:w="105" w:type="dxa"/>
              <w:bottom w:w="0" w:type="dxa"/>
              <w:right w:w="105" w:type="dxa"/>
            </w:tcMar>
            <w:vAlign w:val="center"/>
          </w:tcPr>
          <w:p>
            <w:pPr>
              <w:pStyle w:val="15"/>
              <w:keepNext w:val="0"/>
              <w:keepLines w:val="0"/>
              <w:widowControl/>
              <w:suppressLineNumbers w:val="0"/>
            </w:pPr>
            <w:r>
              <w:rPr>
                <w:rFonts w:hint="eastAsia" w:ascii="宋体" w:hAnsi="宋体" w:eastAsia="宋体" w:cs="宋体"/>
                <w:sz w:val="21"/>
                <w:szCs w:val="21"/>
              </w:rPr>
              <w:t>a.投标报价的明细：详见《投标分项报价表》。</w:t>
            </w:r>
          </w:p>
          <w:p>
            <w:pPr>
              <w:pStyle w:val="15"/>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default" w:ascii="Calibri" w:hAnsi="Calibri" w:cs="Calibri"/>
                <w:sz w:val="21"/>
                <w:szCs w:val="21"/>
              </w:rPr>
              <w:t>…</w:t>
            </w:r>
          </w:p>
        </w:tc>
        <w:tc>
          <w:tcPr>
            <w:tcW w:w="5670" w:type="dxa"/>
            <w:noWrap w:val="0"/>
            <w:tcMar>
              <w:top w:w="0" w:type="dxa"/>
              <w:left w:w="105" w:type="dxa"/>
              <w:bottom w:w="0" w:type="dxa"/>
              <w:right w:w="105" w:type="dxa"/>
            </w:tcMar>
            <w:vAlign w:val="center"/>
          </w:tcPr>
          <w:p>
            <w:pPr>
              <w:pStyle w:val="15"/>
              <w:keepNext w:val="0"/>
              <w:keepLines w:val="0"/>
              <w:widowControl/>
              <w:suppressLineNumbers w:val="0"/>
              <w:jc w:val="left"/>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75" w:type="dxa"/>
            <w:noWrap w:val="0"/>
            <w:tcMar>
              <w:top w:w="0" w:type="dxa"/>
              <w:left w:w="105" w:type="dxa"/>
              <w:bottom w:w="0" w:type="dxa"/>
              <w:right w:w="105" w:type="dxa"/>
            </w:tcMar>
            <w:vAlign w:val="center"/>
          </w:tcPr>
          <w:p>
            <w:pPr>
              <w:keepNext w:val="0"/>
              <w:keepLines w:val="0"/>
              <w:widowControl/>
              <w:suppressLineNumbers w:val="0"/>
              <w:jc w:val="left"/>
            </w:pPr>
          </w:p>
        </w:tc>
        <w:tc>
          <w:tcPr>
            <w:tcW w:w="2040" w:type="dxa"/>
            <w:vMerge w:val="continue"/>
            <w:noWrap w:val="0"/>
            <w:tcMar>
              <w:top w:w="0" w:type="dxa"/>
              <w:left w:w="105" w:type="dxa"/>
              <w:bottom w:w="0" w:type="dxa"/>
              <w:right w:w="105" w:type="dxa"/>
            </w:tcMar>
            <w:vAlign w:val="center"/>
          </w:tcPr>
          <w:p>
            <w:pPr>
              <w:rPr>
                <w:rFonts w:hint="eastAsia" w:ascii="宋体"/>
                <w:sz w:val="24"/>
                <w:szCs w:val="24"/>
              </w:rPr>
            </w:pPr>
          </w:p>
        </w:tc>
      </w:tr>
    </w:tbl>
    <w:p>
      <w:pPr>
        <w:pStyle w:val="15"/>
        <w:keepNext w:val="0"/>
        <w:keepLines w:val="0"/>
        <w:widowControl/>
        <w:suppressLineNumbers w:val="0"/>
      </w:pPr>
      <w:r>
        <w:rPr>
          <w:rFonts w:hint="eastAsia" w:ascii="宋体" w:hAnsi="宋体" w:eastAsia="宋体" w:cs="宋体"/>
          <w:sz w:val="21"/>
          <w:szCs w:val="21"/>
        </w:rPr>
        <w:t>★注意：</w:t>
      </w:r>
    </w:p>
    <w:p>
      <w:pPr>
        <w:pStyle w:val="15"/>
        <w:keepNext w:val="0"/>
        <w:keepLines w:val="0"/>
        <w:widowControl/>
        <w:suppressLineNumbers w:val="0"/>
      </w:pPr>
      <w:r>
        <w:rPr>
          <w:rFonts w:hint="eastAsia" w:ascii="宋体" w:hAnsi="宋体" w:eastAsia="宋体" w:cs="宋体"/>
          <w:sz w:val="21"/>
          <w:szCs w:val="21"/>
        </w:rPr>
        <w:t>1、本表应按照下列规定填写：</w:t>
      </w:r>
    </w:p>
    <w:p>
      <w:pPr>
        <w:pStyle w:val="15"/>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15"/>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15"/>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widowControl/>
        <w:spacing w:before="75" w:after="75"/>
        <w:jc w:val="left"/>
        <w:rPr>
          <w:rFonts w:hint="eastAsia" w:ascii="宋体" w:hAnsi="宋体" w:cs="宋体"/>
          <w:color w:val="auto"/>
          <w:kern w:val="0"/>
          <w:sz w:val="24"/>
        </w:rPr>
      </w:pPr>
    </w:p>
    <w:p>
      <w:pPr>
        <w:widowControl/>
        <w:spacing w:before="75" w:after="75"/>
        <w:jc w:val="left"/>
        <w:rPr>
          <w:rFonts w:hint="eastAsia" w:ascii="宋体" w:hAnsi="宋体" w:cs="宋体"/>
          <w:color w:val="auto"/>
          <w:kern w:val="0"/>
          <w:sz w:val="24"/>
        </w:rPr>
      </w:pP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w:t>
      </w:r>
      <w:r>
        <w:rPr>
          <w:rFonts w:ascii="宋体" w:hAnsi="宋体" w:cs="宋体"/>
          <w:color w:val="auto"/>
          <w:kern w:val="0"/>
          <w:sz w:val="24"/>
          <w:u w:val="single"/>
        </w:rPr>
        <w:t>（全称并加盖单位公章）</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投标人代表签字：</w:t>
      </w:r>
      <w:r>
        <w:rPr>
          <w:rFonts w:ascii="宋体" w:hAnsi="宋体" w:cs="宋体"/>
          <w:color w:val="auto"/>
          <w:kern w:val="0"/>
          <w:sz w:val="24"/>
          <w:u w:val="single"/>
        </w:rPr>
        <w:t>         </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日期：</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rPr>
          <w:rFonts w:hint="eastAsia" w:ascii="宋体" w:hAnsi="宋体" w:cs="宋体"/>
          <w:color w:val="auto"/>
          <w:kern w:val="0"/>
          <w:sz w:val="24"/>
        </w:rPr>
      </w:pPr>
    </w:p>
    <w:p>
      <w:pPr>
        <w:pStyle w:val="2"/>
        <w:ind w:left="0" w:leftChars="0" w:firstLine="0" w:firstLineChars="0"/>
        <w:rPr>
          <w:rFonts w:hint="eastAsia" w:ascii="宋体" w:hAnsi="宋体" w:cs="宋体"/>
          <w:color w:val="auto"/>
          <w:kern w:val="0"/>
          <w:sz w:val="24"/>
        </w:rPr>
      </w:pPr>
    </w:p>
    <w:p>
      <w:pPr>
        <w:pStyle w:val="2"/>
        <w:ind w:left="0" w:leftChars="0" w:firstLine="0" w:firstLineChars="0"/>
        <w:rPr>
          <w:rFonts w:hint="eastAsia" w:ascii="宋体" w:hAnsi="宋体" w:cs="宋体"/>
          <w:color w:val="auto"/>
          <w:kern w:val="0"/>
          <w:sz w:val="24"/>
        </w:rPr>
      </w:pPr>
    </w:p>
    <w:p>
      <w:pPr>
        <w:pStyle w:val="15"/>
        <w:keepNext w:val="0"/>
        <w:keepLines w:val="0"/>
        <w:widowControl/>
        <w:suppressLineNumbers w:val="0"/>
        <w:jc w:val="center"/>
        <w:rPr>
          <w:color w:val="auto"/>
          <w:sz w:val="32"/>
          <w:szCs w:val="32"/>
        </w:rPr>
      </w:pPr>
      <w:r>
        <w:rPr>
          <w:rStyle w:val="20"/>
          <w:rFonts w:hint="eastAsia" w:ascii="宋体" w:hAnsi="宋体" w:eastAsia="宋体" w:cs="宋体"/>
          <w:color w:val="auto"/>
          <w:sz w:val="24"/>
          <w:szCs w:val="24"/>
        </w:rPr>
        <w:t>二、投标分项报价表</w:t>
      </w:r>
    </w:p>
    <w:p>
      <w:pPr>
        <w:widowControl/>
        <w:spacing w:before="75" w:after="75"/>
        <w:jc w:val="left"/>
        <w:rPr>
          <w:rFonts w:ascii="宋体" w:cs="宋体"/>
          <w:color w:val="auto"/>
          <w:kern w:val="0"/>
          <w:sz w:val="24"/>
        </w:rPr>
      </w:pPr>
      <w:r>
        <w:rPr>
          <w:rFonts w:hint="eastAsia" w:ascii="宋体" w:hAnsi="宋体" w:cs="宋体"/>
          <w:color w:val="auto"/>
          <w:kern w:val="0"/>
          <w:sz w:val="24"/>
        </w:rPr>
        <w:t>招标编号：</w:t>
      </w:r>
      <w:r>
        <w:rPr>
          <w:rFonts w:ascii="宋体" w:cs="宋体"/>
          <w:color w:val="auto"/>
          <w:kern w:val="0"/>
          <w:sz w:val="24"/>
        </w:rPr>
        <w:t>                   </w:t>
      </w:r>
    </w:p>
    <w:p>
      <w:pPr>
        <w:widowControl/>
        <w:spacing w:before="75" w:after="75"/>
        <w:jc w:val="right"/>
        <w:rPr>
          <w:color w:val="auto"/>
        </w:rPr>
      </w:pPr>
      <w:r>
        <w:rPr>
          <w:rFonts w:hint="eastAsia" w:ascii="宋体" w:hAnsi="宋体" w:cs="宋体"/>
          <w:color w:val="auto"/>
          <w:kern w:val="0"/>
          <w:sz w:val="24"/>
        </w:rPr>
        <w:t>货币及单位：人民币元</w:t>
      </w:r>
    </w:p>
    <w:tbl>
      <w:tblPr>
        <w:tblStyle w:val="16"/>
        <w:tblW w:w="935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10"/>
        <w:gridCol w:w="1052"/>
        <w:gridCol w:w="1653"/>
        <w:gridCol w:w="1363"/>
        <w:gridCol w:w="937"/>
        <w:gridCol w:w="1090"/>
        <w:gridCol w:w="647"/>
        <w:gridCol w:w="119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8" w:hRule="atLeast"/>
          <w:tblCellSpacing w:w="15" w:type="dxa"/>
        </w:trPr>
        <w:tc>
          <w:tcPr>
            <w:tcW w:w="465"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合同包</w:t>
            </w:r>
          </w:p>
        </w:tc>
        <w:tc>
          <w:tcPr>
            <w:tcW w:w="1022"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品目号</w:t>
            </w:r>
          </w:p>
        </w:tc>
        <w:tc>
          <w:tcPr>
            <w:tcW w:w="162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投标标的</w:t>
            </w:r>
          </w:p>
        </w:tc>
        <w:tc>
          <w:tcPr>
            <w:tcW w:w="133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规格</w:t>
            </w:r>
          </w:p>
        </w:tc>
        <w:tc>
          <w:tcPr>
            <w:tcW w:w="907"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来源地</w:t>
            </w:r>
          </w:p>
        </w:tc>
        <w:tc>
          <w:tcPr>
            <w:tcW w:w="1060"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单价</w:t>
            </w:r>
          </w:p>
          <w:p>
            <w:pPr>
              <w:pStyle w:val="15"/>
              <w:keepNext w:val="0"/>
              <w:keepLines w:val="0"/>
              <w:widowControl/>
              <w:suppressLineNumbers w:val="0"/>
              <w:jc w:val="center"/>
            </w:pPr>
            <w:r>
              <w:rPr>
                <w:rFonts w:hint="eastAsia" w:ascii="宋体" w:hAnsi="宋体" w:eastAsia="宋体" w:cs="宋体"/>
                <w:sz w:val="21"/>
                <w:szCs w:val="21"/>
              </w:rPr>
              <w:t>（现场）</w:t>
            </w:r>
          </w:p>
        </w:tc>
        <w:tc>
          <w:tcPr>
            <w:tcW w:w="617"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数量</w:t>
            </w:r>
          </w:p>
        </w:tc>
        <w:tc>
          <w:tcPr>
            <w:tcW w:w="1167"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总价</w:t>
            </w:r>
          </w:p>
          <w:p>
            <w:pPr>
              <w:pStyle w:val="15"/>
              <w:keepNext w:val="0"/>
              <w:keepLines w:val="0"/>
              <w:widowControl/>
              <w:suppressLineNumbers w:val="0"/>
              <w:jc w:val="center"/>
            </w:pPr>
            <w:r>
              <w:rPr>
                <w:rFonts w:hint="eastAsia" w:ascii="宋体" w:hAnsi="宋体" w:eastAsia="宋体" w:cs="宋体"/>
                <w:sz w:val="21"/>
                <w:szCs w:val="21"/>
              </w:rPr>
              <w:t>（现场）</w:t>
            </w:r>
          </w:p>
        </w:tc>
        <w:tc>
          <w:tcPr>
            <w:tcW w:w="862"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3" w:hRule="atLeast"/>
          <w:tblCellSpacing w:w="15" w:type="dxa"/>
        </w:trPr>
        <w:tc>
          <w:tcPr>
            <w:tcW w:w="465" w:type="dxa"/>
            <w:vMerge w:val="restart"/>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w:t>
            </w:r>
          </w:p>
        </w:tc>
        <w:tc>
          <w:tcPr>
            <w:tcW w:w="1022"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*-1</w:t>
            </w:r>
          </w:p>
        </w:tc>
        <w:tc>
          <w:tcPr>
            <w:tcW w:w="1623" w:type="dxa"/>
            <w:noWrap w:val="0"/>
            <w:tcMar>
              <w:top w:w="0" w:type="dxa"/>
              <w:left w:w="105" w:type="dxa"/>
              <w:bottom w:w="0" w:type="dxa"/>
              <w:right w:w="105" w:type="dxa"/>
            </w:tcMar>
            <w:vAlign w:val="top"/>
          </w:tcPr>
          <w:p>
            <w:pPr>
              <w:keepNext w:val="0"/>
              <w:keepLines w:val="0"/>
              <w:widowControl/>
              <w:suppressLineNumbers w:val="0"/>
              <w:jc w:val="left"/>
            </w:pPr>
          </w:p>
        </w:tc>
        <w:tc>
          <w:tcPr>
            <w:tcW w:w="1333" w:type="dxa"/>
            <w:noWrap w:val="0"/>
            <w:tcMar>
              <w:top w:w="0" w:type="dxa"/>
              <w:left w:w="105" w:type="dxa"/>
              <w:bottom w:w="0" w:type="dxa"/>
              <w:right w:w="105" w:type="dxa"/>
            </w:tcMar>
            <w:vAlign w:val="center"/>
          </w:tcPr>
          <w:p>
            <w:pPr>
              <w:keepNext w:val="0"/>
              <w:keepLines w:val="0"/>
              <w:widowControl/>
              <w:suppressLineNumbers w:val="0"/>
              <w:jc w:val="left"/>
            </w:pPr>
          </w:p>
        </w:tc>
        <w:tc>
          <w:tcPr>
            <w:tcW w:w="907" w:type="dxa"/>
            <w:noWrap w:val="0"/>
            <w:tcMar>
              <w:top w:w="0" w:type="dxa"/>
              <w:left w:w="105" w:type="dxa"/>
              <w:bottom w:w="0" w:type="dxa"/>
              <w:right w:w="105" w:type="dxa"/>
            </w:tcMar>
            <w:vAlign w:val="top"/>
          </w:tcPr>
          <w:p>
            <w:pPr>
              <w:keepNext w:val="0"/>
              <w:keepLines w:val="0"/>
              <w:widowControl/>
              <w:suppressLineNumbers w:val="0"/>
              <w:jc w:val="left"/>
            </w:pPr>
          </w:p>
        </w:tc>
        <w:tc>
          <w:tcPr>
            <w:tcW w:w="1060" w:type="dxa"/>
            <w:noWrap w:val="0"/>
            <w:tcMar>
              <w:top w:w="0" w:type="dxa"/>
              <w:left w:w="105" w:type="dxa"/>
              <w:bottom w:w="0" w:type="dxa"/>
              <w:right w:w="105" w:type="dxa"/>
            </w:tcMar>
            <w:vAlign w:val="top"/>
          </w:tcPr>
          <w:p>
            <w:pPr>
              <w:keepNext w:val="0"/>
              <w:keepLines w:val="0"/>
              <w:widowControl/>
              <w:suppressLineNumbers w:val="0"/>
              <w:jc w:val="left"/>
            </w:pPr>
          </w:p>
        </w:tc>
        <w:tc>
          <w:tcPr>
            <w:tcW w:w="617" w:type="dxa"/>
            <w:noWrap w:val="0"/>
            <w:tcMar>
              <w:top w:w="0" w:type="dxa"/>
              <w:left w:w="105" w:type="dxa"/>
              <w:bottom w:w="0" w:type="dxa"/>
              <w:right w:w="105" w:type="dxa"/>
            </w:tcMar>
            <w:vAlign w:val="top"/>
          </w:tcPr>
          <w:p>
            <w:pPr>
              <w:keepNext w:val="0"/>
              <w:keepLines w:val="0"/>
              <w:widowControl/>
              <w:suppressLineNumbers w:val="0"/>
              <w:jc w:val="left"/>
            </w:pPr>
          </w:p>
        </w:tc>
        <w:tc>
          <w:tcPr>
            <w:tcW w:w="1167" w:type="dxa"/>
            <w:noWrap w:val="0"/>
            <w:tcMar>
              <w:top w:w="0" w:type="dxa"/>
              <w:left w:w="105" w:type="dxa"/>
              <w:bottom w:w="0" w:type="dxa"/>
              <w:right w:w="105" w:type="dxa"/>
            </w:tcMar>
            <w:vAlign w:val="top"/>
          </w:tcPr>
          <w:p>
            <w:pPr>
              <w:keepNext w:val="0"/>
              <w:keepLines w:val="0"/>
              <w:widowControl/>
              <w:suppressLineNumbers w:val="0"/>
              <w:jc w:val="left"/>
            </w:pPr>
          </w:p>
        </w:tc>
        <w:tc>
          <w:tcPr>
            <w:tcW w:w="862"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6" w:hRule="atLeast"/>
          <w:tblCellSpacing w:w="15" w:type="dxa"/>
        </w:trPr>
        <w:tc>
          <w:tcPr>
            <w:tcW w:w="465" w:type="dxa"/>
            <w:vMerge w:val="continue"/>
            <w:noWrap w:val="0"/>
            <w:tcMar>
              <w:top w:w="0" w:type="dxa"/>
              <w:left w:w="105" w:type="dxa"/>
              <w:bottom w:w="0" w:type="dxa"/>
              <w:right w:w="105" w:type="dxa"/>
            </w:tcMar>
            <w:vAlign w:val="center"/>
          </w:tcPr>
          <w:p>
            <w:pPr>
              <w:rPr>
                <w:rFonts w:hint="eastAsia" w:ascii="宋体"/>
                <w:sz w:val="24"/>
                <w:szCs w:val="24"/>
              </w:rPr>
            </w:pPr>
          </w:p>
        </w:tc>
        <w:tc>
          <w:tcPr>
            <w:tcW w:w="1022" w:type="dxa"/>
            <w:noWrap w:val="0"/>
            <w:tcMar>
              <w:top w:w="0" w:type="dxa"/>
              <w:left w:w="105" w:type="dxa"/>
              <w:bottom w:w="0" w:type="dxa"/>
              <w:right w:w="105" w:type="dxa"/>
            </w:tcMar>
            <w:vAlign w:val="center"/>
          </w:tcPr>
          <w:p>
            <w:pPr>
              <w:keepNext w:val="0"/>
              <w:keepLines w:val="0"/>
              <w:widowControl/>
              <w:suppressLineNumbers w:val="0"/>
              <w:jc w:val="left"/>
            </w:pPr>
          </w:p>
        </w:tc>
        <w:tc>
          <w:tcPr>
            <w:tcW w:w="1623" w:type="dxa"/>
            <w:noWrap w:val="0"/>
            <w:tcMar>
              <w:top w:w="0" w:type="dxa"/>
              <w:left w:w="105" w:type="dxa"/>
              <w:bottom w:w="0" w:type="dxa"/>
              <w:right w:w="105" w:type="dxa"/>
            </w:tcMar>
            <w:vAlign w:val="top"/>
          </w:tcPr>
          <w:p>
            <w:pPr>
              <w:keepNext w:val="0"/>
              <w:keepLines w:val="0"/>
              <w:widowControl/>
              <w:suppressLineNumbers w:val="0"/>
              <w:jc w:val="left"/>
            </w:pPr>
          </w:p>
        </w:tc>
        <w:tc>
          <w:tcPr>
            <w:tcW w:w="1333" w:type="dxa"/>
            <w:noWrap w:val="0"/>
            <w:tcMar>
              <w:top w:w="0" w:type="dxa"/>
              <w:left w:w="105" w:type="dxa"/>
              <w:bottom w:w="0" w:type="dxa"/>
              <w:right w:w="105" w:type="dxa"/>
            </w:tcMar>
            <w:vAlign w:val="center"/>
          </w:tcPr>
          <w:p>
            <w:pPr>
              <w:keepNext w:val="0"/>
              <w:keepLines w:val="0"/>
              <w:widowControl/>
              <w:suppressLineNumbers w:val="0"/>
              <w:jc w:val="left"/>
            </w:pPr>
          </w:p>
        </w:tc>
        <w:tc>
          <w:tcPr>
            <w:tcW w:w="907" w:type="dxa"/>
            <w:noWrap w:val="0"/>
            <w:tcMar>
              <w:top w:w="0" w:type="dxa"/>
              <w:left w:w="105" w:type="dxa"/>
              <w:bottom w:w="0" w:type="dxa"/>
              <w:right w:w="105" w:type="dxa"/>
            </w:tcMar>
            <w:vAlign w:val="top"/>
          </w:tcPr>
          <w:p>
            <w:pPr>
              <w:keepNext w:val="0"/>
              <w:keepLines w:val="0"/>
              <w:widowControl/>
              <w:suppressLineNumbers w:val="0"/>
              <w:jc w:val="left"/>
            </w:pPr>
          </w:p>
        </w:tc>
        <w:tc>
          <w:tcPr>
            <w:tcW w:w="1060" w:type="dxa"/>
            <w:noWrap w:val="0"/>
            <w:tcMar>
              <w:top w:w="0" w:type="dxa"/>
              <w:left w:w="105" w:type="dxa"/>
              <w:bottom w:w="0" w:type="dxa"/>
              <w:right w:w="105" w:type="dxa"/>
            </w:tcMar>
            <w:vAlign w:val="top"/>
          </w:tcPr>
          <w:p>
            <w:pPr>
              <w:keepNext w:val="0"/>
              <w:keepLines w:val="0"/>
              <w:widowControl/>
              <w:suppressLineNumbers w:val="0"/>
              <w:jc w:val="left"/>
            </w:pPr>
          </w:p>
        </w:tc>
        <w:tc>
          <w:tcPr>
            <w:tcW w:w="617" w:type="dxa"/>
            <w:noWrap w:val="0"/>
            <w:tcMar>
              <w:top w:w="0" w:type="dxa"/>
              <w:left w:w="105" w:type="dxa"/>
              <w:bottom w:w="0" w:type="dxa"/>
              <w:right w:w="105" w:type="dxa"/>
            </w:tcMar>
            <w:vAlign w:val="top"/>
          </w:tcPr>
          <w:p>
            <w:pPr>
              <w:keepNext w:val="0"/>
              <w:keepLines w:val="0"/>
              <w:widowControl/>
              <w:suppressLineNumbers w:val="0"/>
              <w:jc w:val="left"/>
            </w:pPr>
          </w:p>
        </w:tc>
        <w:tc>
          <w:tcPr>
            <w:tcW w:w="1167" w:type="dxa"/>
            <w:noWrap w:val="0"/>
            <w:tcMar>
              <w:top w:w="0" w:type="dxa"/>
              <w:left w:w="105" w:type="dxa"/>
              <w:bottom w:w="0" w:type="dxa"/>
              <w:right w:w="105" w:type="dxa"/>
            </w:tcMar>
            <w:vAlign w:val="top"/>
          </w:tcPr>
          <w:p>
            <w:pPr>
              <w:keepNext w:val="0"/>
              <w:keepLines w:val="0"/>
              <w:widowControl/>
              <w:suppressLineNumbers w:val="0"/>
              <w:jc w:val="left"/>
            </w:pPr>
          </w:p>
        </w:tc>
        <w:tc>
          <w:tcPr>
            <w:tcW w:w="862"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2" w:hRule="atLeast"/>
          <w:tblCellSpacing w:w="15" w:type="dxa"/>
        </w:trPr>
        <w:tc>
          <w:tcPr>
            <w:tcW w:w="465"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default" w:ascii="Calibri" w:hAnsi="Calibri" w:cs="Calibri"/>
                <w:sz w:val="21"/>
                <w:szCs w:val="21"/>
              </w:rPr>
              <w:t>…</w:t>
            </w:r>
          </w:p>
        </w:tc>
        <w:tc>
          <w:tcPr>
            <w:tcW w:w="1022" w:type="dxa"/>
            <w:noWrap w:val="0"/>
            <w:tcMar>
              <w:top w:w="0" w:type="dxa"/>
              <w:left w:w="105" w:type="dxa"/>
              <w:bottom w:w="0" w:type="dxa"/>
              <w:right w:w="105" w:type="dxa"/>
            </w:tcMar>
            <w:vAlign w:val="center"/>
          </w:tcPr>
          <w:p>
            <w:pPr>
              <w:keepNext w:val="0"/>
              <w:keepLines w:val="0"/>
              <w:widowControl/>
              <w:suppressLineNumbers w:val="0"/>
              <w:jc w:val="left"/>
            </w:pPr>
          </w:p>
        </w:tc>
        <w:tc>
          <w:tcPr>
            <w:tcW w:w="1623" w:type="dxa"/>
            <w:noWrap w:val="0"/>
            <w:tcMar>
              <w:top w:w="0" w:type="dxa"/>
              <w:left w:w="105" w:type="dxa"/>
              <w:bottom w:w="0" w:type="dxa"/>
              <w:right w:w="105" w:type="dxa"/>
            </w:tcMar>
            <w:vAlign w:val="top"/>
          </w:tcPr>
          <w:p>
            <w:pPr>
              <w:keepNext w:val="0"/>
              <w:keepLines w:val="0"/>
              <w:widowControl/>
              <w:suppressLineNumbers w:val="0"/>
              <w:jc w:val="left"/>
            </w:pPr>
          </w:p>
        </w:tc>
        <w:tc>
          <w:tcPr>
            <w:tcW w:w="1333" w:type="dxa"/>
            <w:noWrap w:val="0"/>
            <w:tcMar>
              <w:top w:w="0" w:type="dxa"/>
              <w:left w:w="105" w:type="dxa"/>
              <w:bottom w:w="0" w:type="dxa"/>
              <w:right w:w="105" w:type="dxa"/>
            </w:tcMar>
            <w:vAlign w:val="center"/>
          </w:tcPr>
          <w:p>
            <w:pPr>
              <w:keepNext w:val="0"/>
              <w:keepLines w:val="0"/>
              <w:widowControl/>
              <w:suppressLineNumbers w:val="0"/>
              <w:jc w:val="left"/>
            </w:pPr>
          </w:p>
        </w:tc>
        <w:tc>
          <w:tcPr>
            <w:tcW w:w="907" w:type="dxa"/>
            <w:noWrap w:val="0"/>
            <w:tcMar>
              <w:top w:w="0" w:type="dxa"/>
              <w:left w:w="105" w:type="dxa"/>
              <w:bottom w:w="0" w:type="dxa"/>
              <w:right w:w="105" w:type="dxa"/>
            </w:tcMar>
            <w:vAlign w:val="top"/>
          </w:tcPr>
          <w:p>
            <w:pPr>
              <w:keepNext w:val="0"/>
              <w:keepLines w:val="0"/>
              <w:widowControl/>
              <w:suppressLineNumbers w:val="0"/>
              <w:jc w:val="left"/>
            </w:pPr>
          </w:p>
        </w:tc>
        <w:tc>
          <w:tcPr>
            <w:tcW w:w="1060" w:type="dxa"/>
            <w:noWrap w:val="0"/>
            <w:tcMar>
              <w:top w:w="0" w:type="dxa"/>
              <w:left w:w="105" w:type="dxa"/>
              <w:bottom w:w="0" w:type="dxa"/>
              <w:right w:w="105" w:type="dxa"/>
            </w:tcMar>
            <w:vAlign w:val="top"/>
          </w:tcPr>
          <w:p>
            <w:pPr>
              <w:keepNext w:val="0"/>
              <w:keepLines w:val="0"/>
              <w:widowControl/>
              <w:suppressLineNumbers w:val="0"/>
              <w:jc w:val="left"/>
            </w:pPr>
          </w:p>
        </w:tc>
        <w:tc>
          <w:tcPr>
            <w:tcW w:w="617" w:type="dxa"/>
            <w:noWrap w:val="0"/>
            <w:tcMar>
              <w:top w:w="0" w:type="dxa"/>
              <w:left w:w="105" w:type="dxa"/>
              <w:bottom w:w="0" w:type="dxa"/>
              <w:right w:w="105" w:type="dxa"/>
            </w:tcMar>
            <w:vAlign w:val="top"/>
          </w:tcPr>
          <w:p>
            <w:pPr>
              <w:keepNext w:val="0"/>
              <w:keepLines w:val="0"/>
              <w:widowControl/>
              <w:suppressLineNumbers w:val="0"/>
              <w:jc w:val="left"/>
            </w:pPr>
          </w:p>
        </w:tc>
        <w:tc>
          <w:tcPr>
            <w:tcW w:w="1167" w:type="dxa"/>
            <w:noWrap w:val="0"/>
            <w:tcMar>
              <w:top w:w="0" w:type="dxa"/>
              <w:left w:w="105" w:type="dxa"/>
              <w:bottom w:w="0" w:type="dxa"/>
              <w:right w:w="105" w:type="dxa"/>
            </w:tcMar>
            <w:vAlign w:val="top"/>
          </w:tcPr>
          <w:p>
            <w:pPr>
              <w:keepNext w:val="0"/>
              <w:keepLines w:val="0"/>
              <w:widowControl/>
              <w:suppressLineNumbers w:val="0"/>
              <w:jc w:val="left"/>
            </w:pPr>
          </w:p>
        </w:tc>
        <w:tc>
          <w:tcPr>
            <w:tcW w:w="862" w:type="dxa"/>
            <w:noWrap w:val="0"/>
            <w:tcMar>
              <w:top w:w="0" w:type="dxa"/>
              <w:left w:w="105" w:type="dxa"/>
              <w:bottom w:w="0" w:type="dxa"/>
              <w:right w:w="105" w:type="dxa"/>
            </w:tcMar>
            <w:vAlign w:val="top"/>
          </w:tcPr>
          <w:p>
            <w:pPr>
              <w:keepNext w:val="0"/>
              <w:keepLines w:val="0"/>
              <w:widowControl/>
              <w:suppressLineNumbers w:val="0"/>
              <w:jc w:val="left"/>
            </w:pPr>
          </w:p>
        </w:tc>
      </w:tr>
    </w:tbl>
    <w:p>
      <w:pPr>
        <w:pStyle w:val="15"/>
        <w:keepNext w:val="0"/>
        <w:keepLines w:val="0"/>
        <w:widowControl/>
        <w:suppressLineNumbers w:val="0"/>
      </w:pPr>
      <w:r>
        <w:rPr>
          <w:rFonts w:hint="eastAsia" w:ascii="宋体" w:hAnsi="宋体" w:eastAsia="宋体" w:cs="宋体"/>
          <w:sz w:val="21"/>
          <w:szCs w:val="21"/>
        </w:rPr>
        <w:t>★注意：</w:t>
      </w:r>
    </w:p>
    <w:p>
      <w:pPr>
        <w:pStyle w:val="15"/>
        <w:keepNext w:val="0"/>
        <w:keepLines w:val="0"/>
        <w:widowControl/>
        <w:suppressLineNumbers w:val="0"/>
      </w:pPr>
      <w:r>
        <w:rPr>
          <w:rFonts w:hint="eastAsia" w:ascii="宋体" w:hAnsi="宋体" w:eastAsia="宋体" w:cs="宋体"/>
          <w:sz w:val="21"/>
          <w:szCs w:val="21"/>
        </w:rPr>
        <w:t>1、本表应按照下列规定填写：</w:t>
      </w:r>
    </w:p>
    <w:p>
      <w:pPr>
        <w:pStyle w:val="15"/>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15"/>
        <w:keepNext w:val="0"/>
        <w:keepLines w:val="0"/>
        <w:widowControl/>
        <w:suppressLineNumbers w:val="0"/>
      </w:pPr>
      <w:r>
        <w:rPr>
          <w:rFonts w:hint="eastAsia" w:ascii="宋体" w:hAnsi="宋体" w:eastAsia="宋体" w:cs="宋体"/>
          <w:sz w:val="21"/>
          <w:szCs w:val="21"/>
        </w:rPr>
        <w:t>1.2“投标标的”为货物的：</w:t>
      </w:r>
      <w:r>
        <w:rPr>
          <w:rStyle w:val="2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20"/>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5"/>
        <w:keepNext w:val="0"/>
        <w:keepLines w:val="0"/>
        <w:widowControl/>
        <w:suppressLineNumbers w:val="0"/>
      </w:pPr>
      <w:r>
        <w:rPr>
          <w:rFonts w:hint="eastAsia" w:ascii="宋体" w:hAnsi="宋体" w:eastAsia="宋体" w:cs="宋体"/>
          <w:sz w:val="21"/>
          <w:szCs w:val="21"/>
        </w:rPr>
        <w:t>1.3“投标标的”为服务的：</w:t>
      </w:r>
      <w:r>
        <w:rPr>
          <w:rStyle w:val="2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20"/>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5"/>
        <w:keepNext w:val="0"/>
        <w:keepLines w:val="0"/>
        <w:widowControl/>
        <w:suppressLineNumbers w:val="0"/>
      </w:pPr>
      <w:r>
        <w:rPr>
          <w:rFonts w:hint="eastAsia" w:ascii="宋体" w:hAnsi="宋体" w:eastAsia="宋体" w:cs="宋体"/>
          <w:sz w:val="21"/>
          <w:szCs w:val="21"/>
        </w:rPr>
        <w:t>1.4同一合同包中，</w:t>
      </w:r>
      <w:r>
        <w:rPr>
          <w:rStyle w:val="20"/>
          <w:rFonts w:hint="eastAsia" w:ascii="宋体" w:hAnsi="宋体" w:eastAsia="宋体" w:cs="宋体"/>
          <w:sz w:val="21"/>
          <w:szCs w:val="21"/>
        </w:rPr>
        <w:t>“单价（现场）”</w:t>
      </w:r>
      <w:r>
        <w:rPr>
          <w:rFonts w:hint="eastAsia" w:ascii="宋体" w:hAnsi="宋体" w:eastAsia="宋体" w:cs="宋体"/>
          <w:sz w:val="21"/>
          <w:szCs w:val="21"/>
        </w:rPr>
        <w:t>×</w:t>
      </w:r>
      <w:r>
        <w:rPr>
          <w:rStyle w:val="20"/>
          <w:rFonts w:hint="eastAsia" w:ascii="宋体" w:hAnsi="宋体" w:eastAsia="宋体" w:cs="宋体"/>
          <w:sz w:val="21"/>
          <w:szCs w:val="21"/>
        </w:rPr>
        <w:t>“数量”</w:t>
      </w:r>
      <w:r>
        <w:rPr>
          <w:rFonts w:hint="eastAsia" w:ascii="宋体" w:hAnsi="宋体" w:eastAsia="宋体" w:cs="宋体"/>
          <w:sz w:val="21"/>
          <w:szCs w:val="21"/>
        </w:rPr>
        <w:t>=</w:t>
      </w:r>
      <w:r>
        <w:rPr>
          <w:rStyle w:val="20"/>
          <w:rFonts w:hint="eastAsia" w:ascii="宋体" w:hAnsi="宋体" w:eastAsia="宋体" w:cs="宋体"/>
          <w:sz w:val="21"/>
          <w:szCs w:val="21"/>
        </w:rPr>
        <w:t>“总价（现场）”</w:t>
      </w:r>
      <w:r>
        <w:rPr>
          <w:rFonts w:hint="eastAsia" w:ascii="宋体" w:hAnsi="宋体" w:eastAsia="宋体" w:cs="宋体"/>
          <w:sz w:val="21"/>
          <w:szCs w:val="21"/>
        </w:rPr>
        <w:t>，全部品目号</w:t>
      </w:r>
      <w:r>
        <w:rPr>
          <w:rStyle w:val="20"/>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20"/>
          <w:rFonts w:hint="eastAsia" w:ascii="宋体" w:hAnsi="宋体" w:eastAsia="宋体" w:cs="宋体"/>
          <w:sz w:val="21"/>
          <w:szCs w:val="21"/>
        </w:rPr>
        <w:t>“投标总价”</w:t>
      </w:r>
      <w:r>
        <w:rPr>
          <w:rFonts w:hint="eastAsia" w:ascii="宋体" w:hAnsi="宋体" w:eastAsia="宋体" w:cs="宋体"/>
          <w:sz w:val="21"/>
          <w:szCs w:val="21"/>
        </w:rPr>
        <w:t>保持一致。</w:t>
      </w:r>
    </w:p>
    <w:p>
      <w:pPr>
        <w:pStyle w:val="15"/>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20"/>
          <w:rFonts w:hint="eastAsia" w:ascii="宋体" w:hAnsi="宋体" w:eastAsia="宋体" w:cs="宋体"/>
          <w:sz w:val="21"/>
          <w:szCs w:val="21"/>
        </w:rPr>
        <w:t>“备注”</w:t>
      </w:r>
      <w:r>
        <w:rPr>
          <w:rFonts w:hint="eastAsia" w:ascii="宋体" w:hAnsi="宋体" w:eastAsia="宋体" w:cs="宋体"/>
          <w:sz w:val="21"/>
          <w:szCs w:val="21"/>
        </w:rPr>
        <w:t>项下填写。</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p>
    <w:p>
      <w:pPr>
        <w:widowControl/>
        <w:spacing w:before="75" w:after="75"/>
        <w:jc w:val="left"/>
        <w:rPr>
          <w:rFonts w:ascii="宋体" w:cs="宋体"/>
          <w:color w:val="auto"/>
          <w:kern w:val="0"/>
          <w:sz w:val="24"/>
        </w:rPr>
      </w:pPr>
    </w:p>
    <w:p>
      <w:pPr>
        <w:widowControl/>
        <w:spacing w:before="75" w:after="75"/>
        <w:jc w:val="left"/>
        <w:rPr>
          <w:rFonts w:ascii="宋体" w:cs="宋体"/>
          <w:color w:val="auto"/>
          <w:kern w:val="0"/>
          <w:sz w:val="24"/>
        </w:rPr>
      </w:pP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w:t>
      </w:r>
      <w:r>
        <w:rPr>
          <w:rFonts w:ascii="宋体" w:hAnsi="宋体" w:cs="宋体"/>
          <w:color w:val="auto"/>
          <w:kern w:val="0"/>
          <w:sz w:val="24"/>
          <w:u w:val="single"/>
        </w:rPr>
        <w:t>（全称并加盖单位公章）</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投标人代表签字：</w:t>
      </w:r>
      <w:r>
        <w:rPr>
          <w:rFonts w:ascii="宋体" w:hAnsi="宋体" w:cs="宋体"/>
          <w:color w:val="auto"/>
          <w:kern w:val="0"/>
          <w:sz w:val="24"/>
          <w:u w:val="single"/>
        </w:rPr>
        <w:t>         </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日期：</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p>
    <w:p>
      <w:pPr>
        <w:widowControl/>
        <w:spacing w:before="75" w:after="75"/>
        <w:jc w:val="left"/>
        <w:rPr>
          <w:rFonts w:ascii="宋体" w:cs="宋体"/>
          <w:color w:val="auto"/>
          <w:kern w:val="0"/>
          <w:sz w:val="24"/>
        </w:rPr>
      </w:pPr>
    </w:p>
    <w:p>
      <w:pPr>
        <w:widowControl/>
        <w:spacing w:before="75" w:after="75"/>
        <w:jc w:val="left"/>
        <w:rPr>
          <w:rFonts w:ascii="宋体" w:cs="宋体"/>
          <w:color w:val="auto"/>
          <w:kern w:val="0"/>
          <w:sz w:val="24"/>
        </w:rPr>
      </w:pPr>
    </w:p>
    <w:p>
      <w:pPr>
        <w:widowControl/>
        <w:spacing w:before="75" w:after="75"/>
        <w:jc w:val="left"/>
        <w:rPr>
          <w:rFonts w:ascii="宋体" w:cs="宋体"/>
          <w:color w:val="auto"/>
          <w:kern w:val="0"/>
          <w:sz w:val="24"/>
        </w:rPr>
      </w:pP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三、招标文件规定的价格扣除证明材料（若有）</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三-1优先类节能产品、环境标志产品价格扣除证明材料（若有）</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三-1-①优先类节能产品、环境标志产品统计表（价格扣除适用，若有）</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5"/>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default" w:ascii="Calibri" w:hAnsi="Calibri" w:cs="Calibri"/>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15"/>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15"/>
        <w:keepNext w:val="0"/>
        <w:keepLines w:val="0"/>
        <w:widowControl/>
        <w:suppressLineNumbers w:val="0"/>
        <w:rPr>
          <w:color w:val="auto"/>
        </w:rPr>
      </w:pPr>
      <w:r>
        <w:rPr>
          <w:rFonts w:hint="eastAsia" w:ascii="宋体" w:hAnsi="宋体" w:eastAsia="宋体" w:cs="宋体"/>
          <w:color w:val="auto"/>
          <w:sz w:val="21"/>
          <w:szCs w:val="21"/>
        </w:rPr>
        <w:t>★注意：</w:t>
      </w:r>
    </w:p>
    <w:p>
      <w:pPr>
        <w:pStyle w:val="15"/>
        <w:keepNext w:val="0"/>
        <w:keepLines w:val="0"/>
        <w:widowControl/>
        <w:suppressLineNumbers w:val="0"/>
        <w:rPr>
          <w:color w:val="auto"/>
        </w:rPr>
      </w:pPr>
      <w:r>
        <w:rPr>
          <w:rFonts w:hint="eastAsia" w:ascii="宋体" w:hAnsi="宋体" w:eastAsia="宋体" w:cs="宋体"/>
          <w:color w:val="auto"/>
          <w:sz w:val="21"/>
          <w:szCs w:val="21"/>
        </w:rPr>
        <w:t>1、对节能、环境标志产品计算价格扣除时，只依据投标文件</w:t>
      </w:r>
      <w:r>
        <w:rPr>
          <w:rStyle w:val="20"/>
          <w:rFonts w:hint="eastAsia" w:ascii="宋体" w:hAnsi="宋体" w:eastAsia="宋体" w:cs="宋体"/>
          <w:color w:val="auto"/>
          <w:sz w:val="21"/>
          <w:szCs w:val="21"/>
        </w:rPr>
        <w:t>“三</w:t>
      </w:r>
      <w:r>
        <w:rPr>
          <w:rStyle w:val="20"/>
          <w:rFonts w:hint="default" w:ascii="Calibri" w:hAnsi="Calibri" w:eastAsia="宋体" w:cs="Calibri"/>
          <w:color w:val="auto"/>
          <w:sz w:val="21"/>
          <w:szCs w:val="21"/>
        </w:rPr>
        <w:t>-1-</w:t>
      </w:r>
      <w:r>
        <w:rPr>
          <w:rStyle w:val="20"/>
          <w:rFonts w:hint="eastAsia" w:ascii="宋体" w:hAnsi="宋体" w:eastAsia="宋体" w:cs="宋体"/>
          <w:color w:val="auto"/>
          <w:sz w:val="21"/>
          <w:szCs w:val="21"/>
        </w:rPr>
        <w:t>②优先类节能产品、环境标志产品证明材料（价格扣除适用，若有）”。</w:t>
      </w:r>
    </w:p>
    <w:p>
      <w:pPr>
        <w:pStyle w:val="15"/>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5"/>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15"/>
        <w:keepNext w:val="0"/>
        <w:keepLines w:val="0"/>
        <w:widowControl/>
        <w:suppressLineNumbers w:val="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5"/>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15"/>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15"/>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20"/>
          <w:rFonts w:hint="eastAsia" w:ascii="宋体" w:hAnsi="宋体" w:eastAsia="宋体" w:cs="宋体"/>
          <w:color w:val="auto"/>
          <w:sz w:val="21"/>
          <w:szCs w:val="21"/>
        </w:rPr>
        <w:t>视为提供虚假材料。</w:t>
      </w:r>
    </w:p>
    <w:p>
      <w:pPr>
        <w:pStyle w:val="15"/>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5"/>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5"/>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三-1-②优先类节能产品、环境标志产品证明材料（价格扣除适用，若有）</w:t>
      </w:r>
    </w:p>
    <w:p>
      <w:pPr>
        <w:pStyle w:val="15"/>
        <w:keepNext w:val="0"/>
        <w:keepLines w:val="0"/>
        <w:widowControl/>
        <w:suppressLineNumbers w:val="0"/>
        <w:jc w:val="center"/>
        <w:rPr>
          <w:color w:val="auto"/>
        </w:rPr>
      </w:pPr>
    </w:p>
    <w:p>
      <w:pPr>
        <w:pStyle w:val="15"/>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15"/>
        <w:keepNext w:val="0"/>
        <w:keepLines w:val="0"/>
        <w:widowControl/>
        <w:suppressLineNumbers w:val="0"/>
        <w:jc w:val="center"/>
        <w:rPr>
          <w:color w:val="auto"/>
        </w:rPr>
      </w:pPr>
    </w:p>
    <w:p>
      <w:pPr>
        <w:pStyle w:val="15"/>
        <w:keepNext w:val="0"/>
        <w:keepLines w:val="0"/>
        <w:widowControl/>
        <w:suppressLineNumbers w:val="0"/>
        <w:ind w:left="0" w:firstLine="420"/>
        <w:jc w:val="center"/>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15"/>
        <w:keepNext w:val="0"/>
        <w:keepLines w:val="0"/>
        <w:widowControl/>
        <w:suppressLineNumbers w:val="0"/>
        <w:jc w:val="center"/>
        <w:rPr>
          <w:color w:val="auto"/>
        </w:rPr>
      </w:pPr>
      <w:r>
        <w:rPr>
          <w:rStyle w:val="20"/>
          <w:rFonts w:hint="default" w:ascii="Calibri" w:hAnsi="Calibri" w:cs="Calibri"/>
          <w:color w:val="auto"/>
          <w:sz w:val="21"/>
          <w:szCs w:val="21"/>
        </w:rPr>
        <w:br w:type="textWrapping"/>
      </w:r>
      <w:r>
        <w:rPr>
          <w:rStyle w:val="20"/>
          <w:rFonts w:hint="eastAsia" w:ascii="宋体" w:hAnsi="宋体" w:eastAsia="宋体" w:cs="宋体"/>
          <w:color w:val="auto"/>
          <w:sz w:val="21"/>
          <w:szCs w:val="21"/>
        </w:rPr>
        <w:t>三-2小型、微型企业产品等价格扣除证明材料（若有）</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三-2-①小型、微型企业产品等统计表（价格扣除适用，若有）</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5"/>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default" w:ascii="Calibri" w:hAnsi="Calibri" w:cs="Calibri"/>
                <w:color w:val="auto"/>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15"/>
              <w:keepNext w:val="0"/>
              <w:keepLines w:val="0"/>
              <w:widowControl/>
              <w:suppressLineNumbers w:val="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15"/>
        <w:keepNext w:val="0"/>
        <w:keepLines w:val="0"/>
        <w:widowControl/>
        <w:suppressLineNumbers w:val="0"/>
        <w:rPr>
          <w:color w:val="auto"/>
        </w:rPr>
      </w:pPr>
      <w:r>
        <w:rPr>
          <w:rFonts w:hint="eastAsia" w:ascii="宋体" w:hAnsi="宋体" w:eastAsia="宋体" w:cs="宋体"/>
          <w:color w:val="auto"/>
          <w:sz w:val="21"/>
          <w:szCs w:val="21"/>
        </w:rPr>
        <w:t>★注意：</w:t>
      </w:r>
    </w:p>
    <w:p>
      <w:pPr>
        <w:pStyle w:val="15"/>
        <w:keepNext w:val="0"/>
        <w:keepLines w:val="0"/>
        <w:widowControl/>
        <w:suppressLineNumbers w:val="0"/>
        <w:rPr>
          <w:color w:val="auto"/>
        </w:rPr>
      </w:pPr>
      <w:r>
        <w:rPr>
          <w:rFonts w:hint="eastAsia" w:ascii="宋体" w:hAnsi="宋体" w:eastAsia="宋体" w:cs="宋体"/>
          <w:color w:val="auto"/>
          <w:sz w:val="21"/>
          <w:szCs w:val="21"/>
        </w:rPr>
        <w:t>1、对小型、微型企业产品等计算价格扣除时，只依据投标文件</w:t>
      </w:r>
      <w:r>
        <w:rPr>
          <w:rStyle w:val="20"/>
          <w:rFonts w:hint="eastAsia" w:ascii="宋体" w:hAnsi="宋体" w:eastAsia="宋体" w:cs="宋体"/>
          <w:color w:val="auto"/>
          <w:sz w:val="21"/>
          <w:szCs w:val="21"/>
        </w:rPr>
        <w:t>“三</w:t>
      </w:r>
      <w:r>
        <w:rPr>
          <w:rStyle w:val="20"/>
          <w:rFonts w:hint="default" w:ascii="Calibri" w:hAnsi="Calibri" w:eastAsia="宋体" w:cs="Calibri"/>
          <w:color w:val="auto"/>
          <w:sz w:val="21"/>
          <w:szCs w:val="21"/>
        </w:rPr>
        <w:t>-2-</w:t>
      </w:r>
      <w:r>
        <w:rPr>
          <w:rStyle w:val="20"/>
          <w:rFonts w:hint="eastAsia" w:ascii="宋体" w:hAnsi="宋体" w:eastAsia="宋体" w:cs="宋体"/>
          <w:color w:val="auto"/>
          <w:sz w:val="21"/>
          <w:szCs w:val="21"/>
        </w:rPr>
        <w:t>②中小企业声明函（价格扣除适用，若有）”及“三</w:t>
      </w:r>
      <w:r>
        <w:rPr>
          <w:rStyle w:val="20"/>
          <w:rFonts w:hint="default" w:ascii="Calibri" w:hAnsi="Calibri" w:eastAsia="宋体" w:cs="Calibri"/>
          <w:color w:val="auto"/>
          <w:sz w:val="21"/>
          <w:szCs w:val="21"/>
        </w:rPr>
        <w:t>-2-</w:t>
      </w:r>
      <w:r>
        <w:rPr>
          <w:rStyle w:val="20"/>
          <w:rFonts w:hint="eastAsia" w:ascii="宋体" w:hAnsi="宋体" w:eastAsia="宋体" w:cs="宋体"/>
          <w:color w:val="auto"/>
          <w:sz w:val="21"/>
          <w:szCs w:val="21"/>
        </w:rPr>
        <w:t>③小型、微型企业等证明材料（价格扣除适用，若有）”。</w:t>
      </w:r>
    </w:p>
    <w:p>
      <w:pPr>
        <w:pStyle w:val="15"/>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5"/>
        <w:keepNext w:val="0"/>
        <w:keepLines w:val="0"/>
        <w:widowControl/>
        <w:suppressLineNumbers w:val="0"/>
        <w:rPr>
          <w:color w:val="auto"/>
        </w:rPr>
      </w:pPr>
      <w:r>
        <w:rPr>
          <w:rFonts w:hint="eastAsia" w:ascii="宋体" w:hAnsi="宋体" w:eastAsia="宋体" w:cs="宋体"/>
          <w:color w:val="auto"/>
          <w:sz w:val="21"/>
          <w:szCs w:val="21"/>
        </w:rPr>
        <w:t>3、</w:t>
      </w:r>
      <w:r>
        <w:rPr>
          <w:rStyle w:val="20"/>
          <w:rFonts w:hint="eastAsia" w:ascii="宋体" w:hAnsi="宋体" w:eastAsia="宋体" w:cs="宋体"/>
          <w:color w:val="auto"/>
          <w:sz w:val="21"/>
          <w:szCs w:val="21"/>
        </w:rPr>
        <w:t>除本表第4条规定情形外，小型、微型企业（含监狱企业）承担的工程或提供的服务不享受价格扣除。</w:t>
      </w:r>
    </w:p>
    <w:p>
      <w:pPr>
        <w:pStyle w:val="15"/>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20"/>
          <w:rFonts w:hint="eastAsia" w:ascii="宋体" w:hAnsi="宋体" w:eastAsia="宋体" w:cs="宋体"/>
          <w:color w:val="auto"/>
          <w:sz w:val="21"/>
          <w:szCs w:val="21"/>
        </w:rPr>
        <w:t>可享受价格扣除。</w:t>
      </w:r>
    </w:p>
    <w:p>
      <w:pPr>
        <w:pStyle w:val="15"/>
        <w:keepNext w:val="0"/>
        <w:keepLines w:val="0"/>
        <w:widowControl/>
        <w:suppressLineNumbers w:val="0"/>
        <w:rPr>
          <w:color w:val="auto"/>
        </w:rPr>
      </w:pPr>
      <w:r>
        <w:rPr>
          <w:rFonts w:hint="eastAsia" w:ascii="宋体" w:hAnsi="宋体" w:eastAsia="宋体" w:cs="宋体"/>
          <w:color w:val="auto"/>
          <w:sz w:val="21"/>
          <w:szCs w:val="21"/>
        </w:rPr>
        <w:t>5、纸质投标文件正本中的本表（若有）应为原件。</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5"/>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5"/>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5"/>
        <w:keepNext w:val="0"/>
        <w:keepLines w:val="0"/>
        <w:widowControl/>
        <w:suppressLineNumbers w:val="0"/>
        <w:jc w:val="center"/>
        <w:rPr>
          <w:rStyle w:val="20"/>
          <w:rFonts w:hint="eastAsia" w:ascii="宋体" w:hAnsi="宋体" w:eastAsia="宋体" w:cs="宋体"/>
          <w:color w:val="auto"/>
          <w:sz w:val="21"/>
          <w:szCs w:val="21"/>
        </w:rPr>
      </w:pP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三-2-②中小企业声明函（价格扣除适用，若有）</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xml:space="preserve"> （填写“项目名称”） </w:t>
      </w:r>
      <w:r>
        <w:rPr>
          <w:rFonts w:hint="eastAsia" w:ascii="宋体" w:hAnsi="宋体" w:eastAsia="宋体" w:cs="宋体"/>
          <w:color w:val="auto"/>
          <w:sz w:val="21"/>
          <w:szCs w:val="21"/>
        </w:rPr>
        <w:t>项目采购活动，其中：</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①货物（不包括使用大型企业注册商标的货物）：</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②工程：</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③服务：</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15"/>
        <w:keepNext w:val="0"/>
        <w:keepLines w:val="0"/>
        <w:widowControl/>
        <w:suppressLineNumbers w:val="0"/>
        <w:ind w:left="0" w:firstLine="420"/>
        <w:rPr>
          <w:color w:val="auto"/>
        </w:rPr>
      </w:pPr>
      <w:r>
        <w:rPr>
          <w:rFonts w:hint="default" w:ascii="Calibri" w:hAnsi="Calibri" w:cs="Calibri"/>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★注意：</w:t>
      </w:r>
    </w:p>
    <w:p>
      <w:pPr>
        <w:pStyle w:val="15"/>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15"/>
        <w:keepNext w:val="0"/>
        <w:keepLines w:val="0"/>
        <w:widowControl/>
        <w:suppressLineNumbers w:val="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15"/>
        <w:keepNext w:val="0"/>
        <w:keepLines w:val="0"/>
        <w:widowControl/>
        <w:suppressLineNumbers w:val="0"/>
        <w:rPr>
          <w:color w:val="auto"/>
        </w:rPr>
      </w:pPr>
      <w:r>
        <w:rPr>
          <w:rFonts w:hint="eastAsia" w:ascii="宋体" w:hAnsi="宋体" w:eastAsia="宋体" w:cs="宋体"/>
          <w:color w:val="auto"/>
          <w:sz w:val="21"/>
          <w:szCs w:val="21"/>
        </w:rPr>
        <w:t>3、若《中小企业声明函》内容不真实，</w:t>
      </w:r>
      <w:r>
        <w:rPr>
          <w:rStyle w:val="20"/>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4、投标人为监狱企业的，可不填写本声明函。</w:t>
      </w:r>
    </w:p>
    <w:p>
      <w:pPr>
        <w:pStyle w:val="15"/>
        <w:keepNext w:val="0"/>
        <w:keepLines w:val="0"/>
        <w:widowControl/>
        <w:suppressLineNumbers w:val="0"/>
        <w:rPr>
          <w:color w:val="auto"/>
        </w:rPr>
      </w:pPr>
      <w:r>
        <w:rPr>
          <w:rFonts w:hint="eastAsia" w:ascii="宋体" w:hAnsi="宋体" w:eastAsia="宋体" w:cs="宋体"/>
          <w:color w:val="auto"/>
          <w:sz w:val="21"/>
          <w:szCs w:val="21"/>
        </w:rPr>
        <w:t>5、投标人为残疾人福利性单位的，可不填写本声明函。</w:t>
      </w:r>
    </w:p>
    <w:p>
      <w:pPr>
        <w:pStyle w:val="15"/>
        <w:keepNext w:val="0"/>
        <w:keepLines w:val="0"/>
        <w:widowControl/>
        <w:suppressLineNumbers w:val="0"/>
        <w:rPr>
          <w:color w:val="auto"/>
        </w:rPr>
      </w:pPr>
      <w:r>
        <w:rPr>
          <w:rFonts w:hint="eastAsia" w:ascii="宋体" w:hAnsi="宋体" w:eastAsia="宋体" w:cs="宋体"/>
          <w:color w:val="auto"/>
          <w:sz w:val="21"/>
          <w:szCs w:val="21"/>
        </w:rPr>
        <w:t>6、纸质投标文件正本中的本声明函（若有）应为原件。</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default" w:ascii="Calibri" w:hAnsi="Calibri" w:cs="Calibri"/>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5"/>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5"/>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Style w:val="20"/>
          <w:rFonts w:hint="eastAsia" w:ascii="宋体" w:hAnsi="宋体" w:eastAsia="宋体" w:cs="宋体"/>
          <w:color w:val="auto"/>
          <w:sz w:val="21"/>
          <w:szCs w:val="21"/>
        </w:rPr>
      </w:pP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三-2-③小型、微型企业等证明材料（价格扣除适用，若有）</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15"/>
        <w:keepNext w:val="0"/>
        <w:keepLines w:val="0"/>
        <w:widowControl/>
        <w:suppressLineNumbers w:val="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15"/>
        <w:keepNext w:val="0"/>
        <w:keepLines w:val="0"/>
        <w:widowControl/>
        <w:suppressLineNumbers w:val="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5"/>
        <w:keepNext w:val="0"/>
        <w:keepLines w:val="0"/>
        <w:widowControl/>
        <w:suppressLineNumbers w:val="0"/>
        <w:rPr>
          <w:rFonts w:hint="default" w:ascii="Calibri" w:hAnsi="Calibri" w:cs="Calibri"/>
          <w:color w:val="auto"/>
          <w:sz w:val="21"/>
          <w:szCs w:val="21"/>
        </w:rPr>
      </w:pPr>
      <w:r>
        <w:rPr>
          <w:rFonts w:hint="default" w:ascii="Calibri" w:hAnsi="Calibri" w:cs="Calibri"/>
          <w:color w:val="auto"/>
          <w:sz w:val="21"/>
          <w:szCs w:val="21"/>
        </w:rPr>
        <w:br w:type="textWrapping"/>
      </w: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rFonts w:hint="default" w:ascii="Calibri" w:hAnsi="Calibri" w:cs="Calibri"/>
          <w:color w:val="auto"/>
          <w:sz w:val="21"/>
          <w:szCs w:val="21"/>
        </w:rPr>
      </w:pPr>
    </w:p>
    <w:p>
      <w:pPr>
        <w:pStyle w:val="15"/>
        <w:keepNext w:val="0"/>
        <w:keepLines w:val="0"/>
        <w:widowControl/>
        <w:suppressLineNumbers w:val="0"/>
        <w:rPr>
          <w:color w:val="auto"/>
        </w:rPr>
      </w:pPr>
      <w:r>
        <w:rPr>
          <w:rFonts w:hint="eastAsia" w:ascii="宋体" w:hAnsi="宋体" w:eastAsia="宋体" w:cs="宋体"/>
          <w:color w:val="auto"/>
          <w:sz w:val="21"/>
          <w:szCs w:val="21"/>
        </w:rPr>
        <w:t>附：</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残疾人福利性单位声明函（价格扣除适用，若有）</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15"/>
        <w:keepNext w:val="0"/>
        <w:keepLines w:val="0"/>
        <w:widowControl/>
        <w:suppressLineNumbers w:val="0"/>
        <w:ind w:left="0" w:firstLine="420"/>
        <w:rPr>
          <w:color w:val="auto"/>
        </w:rPr>
      </w:pPr>
      <w:r>
        <w:rPr>
          <w:rFonts w:hint="default" w:ascii="Calibri" w:hAnsi="Calibri" w:cs="Calibri"/>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★注意：</w:t>
      </w:r>
    </w:p>
    <w:p>
      <w:pPr>
        <w:pStyle w:val="15"/>
        <w:keepNext w:val="0"/>
        <w:keepLines w:val="0"/>
        <w:widowControl/>
        <w:suppressLineNumbers w:val="0"/>
        <w:rPr>
          <w:color w:val="auto"/>
        </w:rPr>
      </w:pPr>
      <w:r>
        <w:rPr>
          <w:rFonts w:hint="eastAsia" w:ascii="宋体" w:hAnsi="宋体" w:eastAsia="宋体" w:cs="宋体"/>
          <w:color w:val="auto"/>
          <w:sz w:val="21"/>
          <w:szCs w:val="21"/>
        </w:rPr>
        <w:t>1、请投标人按照实际情况编制填写本声明函，并在相应的（）中打“√”。</w:t>
      </w:r>
    </w:p>
    <w:p>
      <w:pPr>
        <w:pStyle w:val="15"/>
        <w:keepNext w:val="0"/>
        <w:keepLines w:val="0"/>
        <w:widowControl/>
        <w:suppressLineNumbers w:val="0"/>
        <w:rPr>
          <w:color w:val="auto"/>
        </w:rPr>
      </w:pPr>
      <w:r>
        <w:rPr>
          <w:rFonts w:hint="eastAsia" w:ascii="宋体" w:hAnsi="宋体" w:eastAsia="宋体" w:cs="宋体"/>
          <w:color w:val="auto"/>
          <w:sz w:val="21"/>
          <w:szCs w:val="21"/>
        </w:rPr>
        <w:t>2、纸质投标文件正本中的本声明函（若有）应为原件。</w:t>
      </w:r>
    </w:p>
    <w:p>
      <w:pPr>
        <w:pStyle w:val="15"/>
        <w:keepNext w:val="0"/>
        <w:keepLines w:val="0"/>
        <w:widowControl/>
        <w:suppressLineNumbers w:val="0"/>
        <w:rPr>
          <w:color w:val="auto"/>
        </w:rPr>
      </w:pPr>
      <w:r>
        <w:rPr>
          <w:rFonts w:hint="eastAsia" w:ascii="宋体" w:hAnsi="宋体" w:eastAsia="宋体" w:cs="宋体"/>
          <w:color w:val="auto"/>
          <w:sz w:val="21"/>
          <w:szCs w:val="21"/>
        </w:rPr>
        <w:t>3、若《残疾人福利性单位声明函》内容不真实，</w:t>
      </w:r>
      <w:r>
        <w:rPr>
          <w:rStyle w:val="20"/>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20"/>
          <w:rFonts w:hint="eastAsia" w:ascii="宋体" w:hAnsi="宋体" w:eastAsia="宋体" w:cs="宋体"/>
          <w:color w:val="auto"/>
          <w:sz w:val="21"/>
          <w:szCs w:val="21"/>
        </w:rPr>
        <w:t>可享受价格扣除。</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default" w:ascii="Calibri" w:hAnsi="Calibri" w:cs="Calibri"/>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5"/>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5"/>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5"/>
        <w:keepNext w:val="0"/>
        <w:keepLines w:val="0"/>
        <w:widowControl/>
        <w:suppressLineNumbers w:val="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三-3招标文件规定的其他价格扣除证明材料（若有）</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20"/>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Fonts w:hint="default" w:ascii="Calibri" w:hAnsi="Calibri" w:cs="Calibri"/>
          <w:color w:val="auto"/>
          <w:sz w:val="21"/>
          <w:szCs w:val="21"/>
        </w:rPr>
      </w:pPr>
    </w:p>
    <w:p>
      <w:pPr>
        <w:pStyle w:val="15"/>
        <w:keepNext w:val="0"/>
        <w:keepLines w:val="0"/>
        <w:widowControl/>
        <w:suppressLineNumbers w:val="0"/>
        <w:jc w:val="center"/>
        <w:rPr>
          <w:rStyle w:val="20"/>
          <w:rFonts w:hint="eastAsia" w:ascii="宋体" w:hAnsi="宋体" w:eastAsia="宋体" w:cs="宋体"/>
          <w:color w:val="auto"/>
          <w:sz w:val="21"/>
          <w:szCs w:val="21"/>
        </w:rPr>
      </w:pP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四、招标文件规定的加分证明材料（若有）</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四-1优先类节能产品、环境标志产品加分证明材料（若有）</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四-1-①优先类节能产品、环境标志产品统计表（加分适用，若有）</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15"/>
        <w:keepNext w:val="0"/>
        <w:keepLines w:val="0"/>
        <w:widowControl/>
        <w:suppressLineNumbers w:val="0"/>
        <w:jc w:val="right"/>
        <w:rPr>
          <w:color w:val="auto"/>
        </w:rPr>
      </w:pPr>
      <w:r>
        <w:rPr>
          <w:rFonts w:hint="eastAsia" w:ascii="宋体" w:hAnsi="宋体" w:eastAsia="宋体" w:cs="宋体"/>
          <w:color w:val="auto"/>
          <w:sz w:val="21"/>
          <w:szCs w:val="21"/>
        </w:rPr>
        <w:t>货币及单位：人民币元</w:t>
      </w:r>
    </w:p>
    <w:tbl>
      <w:tblPr>
        <w:tblStyle w:val="1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单价</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总价</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default" w:ascii="Calibri" w:hAnsi="Calibri" w:cs="Calibri"/>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5"/>
              <w:keepNext w:val="0"/>
              <w:keepLines w:val="0"/>
              <w:widowControl/>
              <w:suppressLineNumbers w:val="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15"/>
              <w:keepNext w:val="0"/>
              <w:keepLines w:val="0"/>
              <w:widowControl/>
              <w:suppressLineNumbers w:val="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15"/>
        <w:keepNext w:val="0"/>
        <w:keepLines w:val="0"/>
        <w:widowControl/>
        <w:suppressLineNumbers w:val="0"/>
        <w:rPr>
          <w:color w:val="auto"/>
        </w:rPr>
      </w:pPr>
      <w:r>
        <w:rPr>
          <w:rFonts w:hint="eastAsia" w:ascii="宋体" w:hAnsi="宋体" w:eastAsia="宋体" w:cs="宋体"/>
          <w:color w:val="auto"/>
          <w:sz w:val="21"/>
          <w:szCs w:val="21"/>
        </w:rPr>
        <w:t>★注意：</w:t>
      </w:r>
    </w:p>
    <w:p>
      <w:pPr>
        <w:pStyle w:val="15"/>
        <w:keepNext w:val="0"/>
        <w:keepLines w:val="0"/>
        <w:widowControl/>
        <w:suppressLineNumbers w:val="0"/>
        <w:rPr>
          <w:color w:val="auto"/>
        </w:rPr>
      </w:pPr>
      <w:r>
        <w:rPr>
          <w:rFonts w:hint="eastAsia" w:ascii="宋体" w:hAnsi="宋体" w:eastAsia="宋体" w:cs="宋体"/>
          <w:color w:val="auto"/>
          <w:sz w:val="21"/>
          <w:szCs w:val="21"/>
        </w:rPr>
        <w:t>1、对节能、环境标志产品计算加分时，只依据投标文件</w:t>
      </w:r>
      <w:r>
        <w:rPr>
          <w:rStyle w:val="20"/>
          <w:rFonts w:hint="eastAsia" w:ascii="宋体" w:hAnsi="宋体" w:eastAsia="宋体" w:cs="宋体"/>
          <w:color w:val="auto"/>
          <w:sz w:val="21"/>
          <w:szCs w:val="21"/>
        </w:rPr>
        <w:t>“四</w:t>
      </w:r>
      <w:r>
        <w:rPr>
          <w:rStyle w:val="20"/>
          <w:rFonts w:hint="default" w:ascii="Calibri" w:hAnsi="Calibri" w:eastAsia="宋体" w:cs="Calibri"/>
          <w:color w:val="auto"/>
          <w:sz w:val="21"/>
          <w:szCs w:val="21"/>
        </w:rPr>
        <w:t>-1-</w:t>
      </w:r>
      <w:r>
        <w:rPr>
          <w:rStyle w:val="20"/>
          <w:rFonts w:hint="eastAsia" w:ascii="宋体" w:hAnsi="宋体" w:eastAsia="宋体" w:cs="宋体"/>
          <w:color w:val="auto"/>
          <w:sz w:val="21"/>
          <w:szCs w:val="21"/>
        </w:rPr>
        <w:t>②优先类节能产品、环境标志产品加分证明材料（加分适用，若有）”。</w:t>
      </w:r>
    </w:p>
    <w:p>
      <w:pPr>
        <w:pStyle w:val="15"/>
        <w:keepNext w:val="0"/>
        <w:keepLines w:val="0"/>
        <w:widowControl/>
        <w:suppressLineNumbers w:val="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5"/>
        <w:keepNext w:val="0"/>
        <w:keepLines w:val="0"/>
        <w:widowControl/>
        <w:suppressLineNumbers w:val="0"/>
        <w:rPr>
          <w:color w:val="auto"/>
        </w:rPr>
      </w:pPr>
      <w:r>
        <w:rPr>
          <w:rFonts w:hint="eastAsia" w:ascii="宋体" w:hAnsi="宋体" w:eastAsia="宋体" w:cs="宋体"/>
          <w:color w:val="auto"/>
          <w:sz w:val="21"/>
          <w:szCs w:val="21"/>
        </w:rPr>
        <w:t>3、具体统计、计算：</w:t>
      </w:r>
    </w:p>
    <w:p>
      <w:pPr>
        <w:pStyle w:val="15"/>
        <w:keepNext w:val="0"/>
        <w:keepLines w:val="0"/>
        <w:widowControl/>
        <w:suppressLineNumbers w:val="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15"/>
        <w:keepNext w:val="0"/>
        <w:keepLines w:val="0"/>
        <w:widowControl/>
        <w:suppressLineNumbers w:val="0"/>
        <w:rPr>
          <w:color w:val="auto"/>
        </w:rPr>
      </w:pPr>
      <w:r>
        <w:rPr>
          <w:rFonts w:hint="eastAsia" w:ascii="宋体" w:hAnsi="宋体" w:eastAsia="宋体" w:cs="宋体"/>
          <w:color w:val="auto"/>
          <w:sz w:val="21"/>
          <w:szCs w:val="21"/>
        </w:rPr>
        <w:t>3.2计算结果若除不尽，可四舍五入保留到小数点后两位。</w:t>
      </w:r>
    </w:p>
    <w:p>
      <w:pPr>
        <w:pStyle w:val="15"/>
        <w:keepNext w:val="0"/>
        <w:keepLines w:val="0"/>
        <w:widowControl/>
        <w:suppressLineNumbers w:val="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15"/>
        <w:keepNext w:val="0"/>
        <w:keepLines w:val="0"/>
        <w:widowControl/>
        <w:suppressLineNumbers w:val="0"/>
        <w:rPr>
          <w:color w:val="auto"/>
        </w:rPr>
      </w:pPr>
      <w:r>
        <w:rPr>
          <w:rFonts w:hint="eastAsia" w:ascii="宋体" w:hAnsi="宋体" w:eastAsia="宋体" w:cs="宋体"/>
          <w:color w:val="auto"/>
          <w:sz w:val="21"/>
          <w:szCs w:val="21"/>
        </w:rPr>
        <w:t>3.4若无节能、环境标志产品，不填写本表，否则，</w:t>
      </w:r>
      <w:r>
        <w:rPr>
          <w:rStyle w:val="20"/>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5"/>
        <w:keepNext w:val="0"/>
        <w:keepLines w:val="0"/>
        <w:widowControl/>
        <w:suppressLineNumbers w:val="0"/>
        <w:rPr>
          <w:color w:val="auto"/>
        </w:rPr>
      </w:pPr>
      <w:r>
        <w:rPr>
          <w:rFonts w:hint="eastAsia" w:ascii="宋体" w:hAnsi="宋体" w:eastAsia="宋体" w:cs="宋体"/>
          <w:color w:val="auto"/>
          <w:sz w:val="21"/>
          <w:szCs w:val="21"/>
        </w:rPr>
        <w:t>4、纸质投标文件正本中的本表（若有）应为原件。</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5"/>
        <w:keepNext w:val="0"/>
        <w:keepLines w:val="0"/>
        <w:widowControl/>
        <w:suppressLineNumbers w:val="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15"/>
        <w:keepNext w:val="0"/>
        <w:keepLines w:val="0"/>
        <w:widowControl/>
        <w:suppressLineNumbers w:val="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5"/>
        <w:keepNext w:val="0"/>
        <w:keepLines w:val="0"/>
        <w:widowControl/>
        <w:suppressLineNumbers w:val="0"/>
        <w:jc w:val="center"/>
        <w:rPr>
          <w:rStyle w:val="20"/>
          <w:rFonts w:hint="eastAsia" w:ascii="宋体" w:hAnsi="宋体" w:eastAsia="宋体" w:cs="宋体"/>
          <w:color w:val="auto"/>
          <w:sz w:val="21"/>
          <w:szCs w:val="21"/>
        </w:rPr>
      </w:pPr>
    </w:p>
    <w:p>
      <w:pPr>
        <w:pStyle w:val="15"/>
        <w:keepNext w:val="0"/>
        <w:keepLines w:val="0"/>
        <w:widowControl/>
        <w:suppressLineNumbers w:val="0"/>
        <w:jc w:val="center"/>
        <w:rPr>
          <w:color w:val="auto"/>
        </w:rPr>
      </w:pPr>
      <w:r>
        <w:rPr>
          <w:rStyle w:val="20"/>
          <w:rFonts w:hint="eastAsia" w:ascii="宋体" w:hAnsi="宋体" w:eastAsia="宋体" w:cs="宋体"/>
          <w:color w:val="auto"/>
          <w:sz w:val="21"/>
          <w:szCs w:val="21"/>
        </w:rPr>
        <w:t>四-1-②优先类节能产品、环境标志产品证明材料（加分适用，若有）</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rPr>
          <w:color w:val="auto"/>
        </w:rPr>
      </w:pPr>
      <w:r>
        <w:rPr>
          <w:rStyle w:val="20"/>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20"/>
          <w:rFonts w:hint="eastAsia" w:ascii="宋体" w:hAnsi="宋体" w:eastAsia="宋体" w:cs="宋体"/>
          <w:color w:val="auto"/>
          <w:sz w:val="21"/>
          <w:szCs w:val="21"/>
        </w:rPr>
        <w:t>-2招标文件规定的其他加分证明材料（若有）</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rPr>
          <w:color w:val="auto"/>
        </w:rPr>
      </w:pPr>
      <w:r>
        <w:rPr>
          <w:rFonts w:hint="eastAsia" w:ascii="宋体" w:hAnsi="宋体" w:eastAsia="宋体" w:cs="宋体"/>
          <w:color w:val="auto"/>
          <w:sz w:val="21"/>
          <w:szCs w:val="21"/>
        </w:rPr>
        <w:t> </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编制说明</w:t>
      </w:r>
    </w:p>
    <w:p>
      <w:pPr>
        <w:pStyle w:val="15"/>
        <w:keepNext w:val="0"/>
        <w:keepLines w:val="0"/>
        <w:widowControl/>
        <w:suppressLineNumbers w:val="0"/>
        <w:jc w:val="center"/>
        <w:rPr>
          <w:color w:val="auto"/>
        </w:rPr>
      </w:pPr>
      <w:r>
        <w:rPr>
          <w:rFonts w:hint="eastAsia" w:ascii="宋体" w:hAnsi="宋体" w:eastAsia="宋体" w:cs="宋体"/>
          <w:color w:val="auto"/>
          <w:sz w:val="21"/>
          <w:szCs w:val="21"/>
        </w:rPr>
        <w:t> </w:t>
      </w:r>
    </w:p>
    <w:p>
      <w:pPr>
        <w:pStyle w:val="15"/>
        <w:keepNext w:val="0"/>
        <w:keepLines w:val="0"/>
        <w:widowControl/>
        <w:suppressLineNumbers w:val="0"/>
        <w:ind w:left="0" w:firstLine="420"/>
        <w:rPr>
          <w:color w:val="auto"/>
        </w:rPr>
      </w:pPr>
      <w:r>
        <w:rPr>
          <w:rFonts w:hint="eastAsia" w:ascii="宋体" w:hAnsi="宋体" w:eastAsia="宋体" w:cs="宋体"/>
          <w:color w:val="auto"/>
          <w:sz w:val="21"/>
          <w:szCs w:val="21"/>
        </w:rPr>
        <w:t>若投标人可享受招标文件规定的除</w:t>
      </w:r>
      <w:r>
        <w:rPr>
          <w:rStyle w:val="20"/>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widowControl/>
        <w:spacing w:before="75" w:after="75"/>
        <w:jc w:val="center"/>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pStyle w:val="2"/>
        <w:rPr>
          <w:rFonts w:ascii="宋体" w:cs="宋体"/>
          <w:b/>
          <w:bCs/>
          <w:color w:val="auto"/>
          <w:kern w:val="0"/>
          <w:sz w:val="24"/>
        </w:rPr>
      </w:pPr>
    </w:p>
    <w:p>
      <w:pPr>
        <w:widowControl/>
        <w:spacing w:before="75" w:after="75"/>
        <w:rPr>
          <w:rFonts w:ascii="宋体" w:cs="宋体"/>
          <w:color w:val="auto"/>
          <w:kern w:val="0"/>
          <w:sz w:val="24"/>
        </w:rPr>
      </w:pPr>
      <w:r>
        <w:rPr>
          <w:rFonts w:hint="eastAsia" w:ascii="宋体" w:hAnsi="宋体" w:cs="宋体"/>
          <w:b/>
          <w:bCs/>
          <w:color w:val="auto"/>
          <w:kern w:val="0"/>
          <w:sz w:val="24"/>
        </w:rPr>
        <w:t>封面格式</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52"/>
          <w:szCs w:val="52"/>
        </w:rPr>
      </w:pPr>
      <w:r>
        <w:rPr>
          <w:rFonts w:hint="eastAsia" w:ascii="宋体" w:hAnsi="宋体" w:cs="宋体"/>
          <w:b/>
          <w:bCs/>
          <w:color w:val="auto"/>
          <w:kern w:val="0"/>
          <w:sz w:val="52"/>
          <w:szCs w:val="52"/>
        </w:rPr>
        <w:t>投标文件</w:t>
      </w:r>
    </w:p>
    <w:p>
      <w:pPr>
        <w:widowControl/>
        <w:spacing w:before="75" w:after="75"/>
        <w:jc w:val="center"/>
        <w:rPr>
          <w:rFonts w:ascii="宋体" w:cs="宋体"/>
          <w:color w:val="auto"/>
          <w:kern w:val="0"/>
          <w:sz w:val="52"/>
          <w:szCs w:val="52"/>
        </w:rPr>
      </w:pPr>
      <w:r>
        <w:rPr>
          <w:rFonts w:hint="eastAsia" w:ascii="宋体" w:hAnsi="宋体" w:cs="宋体"/>
          <w:b/>
          <w:bCs/>
          <w:color w:val="auto"/>
          <w:kern w:val="0"/>
          <w:sz w:val="52"/>
          <w:szCs w:val="52"/>
        </w:rPr>
        <w:t>（技术商务部分）</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（填写正本或副本）</w:t>
      </w:r>
    </w:p>
    <w:p>
      <w:pPr>
        <w:widowControl/>
        <w:spacing w:before="75" w:after="75"/>
        <w:jc w:val="center"/>
        <w:rPr>
          <w:rFonts w:ascii="宋体" w:cs="宋体"/>
          <w:color w:val="auto"/>
          <w:kern w:val="0"/>
          <w:sz w:val="32"/>
          <w:szCs w:val="32"/>
        </w:rPr>
      </w:pPr>
    </w:p>
    <w:p>
      <w:pPr>
        <w:widowControl/>
        <w:spacing w:before="75" w:after="75"/>
        <w:jc w:val="center"/>
        <w:rPr>
          <w:rFonts w:ascii="宋体" w:cs="宋体"/>
          <w:b/>
          <w:bCs/>
          <w:color w:val="auto"/>
          <w:kern w:val="0"/>
          <w:sz w:val="32"/>
          <w:szCs w:val="32"/>
        </w:rPr>
      </w:pPr>
    </w:p>
    <w:p>
      <w:pPr>
        <w:widowControl/>
        <w:spacing w:before="75" w:after="75"/>
        <w:jc w:val="center"/>
        <w:rPr>
          <w:rFonts w:ascii="宋体" w:cs="宋体"/>
          <w:b/>
          <w:bCs/>
          <w:color w:val="auto"/>
          <w:kern w:val="0"/>
          <w:sz w:val="32"/>
          <w:szCs w:val="32"/>
        </w:rPr>
      </w:pPr>
    </w:p>
    <w:p>
      <w:pPr>
        <w:widowControl/>
        <w:spacing w:before="75" w:after="75"/>
        <w:jc w:val="center"/>
        <w:rPr>
          <w:rFonts w:ascii="宋体" w:cs="宋体"/>
          <w:b/>
          <w:bCs/>
          <w:color w:val="auto"/>
          <w:kern w:val="0"/>
          <w:sz w:val="32"/>
          <w:szCs w:val="32"/>
        </w:rPr>
      </w:pP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项目名称：（由投标人填写）</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招标编号：（由投标人填写）</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所投合同包：（由投标人填写）</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center"/>
        <w:rPr>
          <w:rFonts w:ascii="宋体" w:cs="宋体"/>
          <w:b/>
          <w:bCs/>
          <w:color w:val="auto"/>
          <w:kern w:val="0"/>
          <w:sz w:val="32"/>
          <w:szCs w:val="32"/>
        </w:rPr>
      </w:pPr>
    </w:p>
    <w:p>
      <w:pPr>
        <w:widowControl/>
        <w:spacing w:before="75" w:after="75"/>
        <w:jc w:val="center"/>
        <w:rPr>
          <w:rFonts w:ascii="宋体" w:cs="宋体"/>
          <w:b/>
          <w:bCs/>
          <w:color w:val="auto"/>
          <w:kern w:val="0"/>
          <w:sz w:val="32"/>
          <w:szCs w:val="32"/>
        </w:rPr>
      </w:pPr>
    </w:p>
    <w:p>
      <w:pPr>
        <w:widowControl/>
        <w:spacing w:before="75" w:after="75"/>
        <w:jc w:val="center"/>
        <w:rPr>
          <w:rFonts w:ascii="宋体" w:cs="宋体"/>
          <w:b/>
          <w:bCs/>
          <w:color w:val="auto"/>
          <w:kern w:val="0"/>
          <w:sz w:val="32"/>
          <w:szCs w:val="32"/>
        </w:rPr>
      </w:pP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投标人：（填写“全称”）</w:t>
      </w:r>
    </w:p>
    <w:p>
      <w:pPr>
        <w:widowControl/>
        <w:spacing w:before="75" w:after="75"/>
        <w:jc w:val="center"/>
        <w:rPr>
          <w:rFonts w:ascii="宋体" w:cs="宋体"/>
          <w:color w:val="auto"/>
          <w:kern w:val="0"/>
          <w:sz w:val="32"/>
          <w:szCs w:val="32"/>
        </w:rPr>
      </w:pPr>
      <w:r>
        <w:rPr>
          <w:rFonts w:hint="eastAsia" w:ascii="宋体" w:hAnsi="宋体" w:cs="宋体"/>
          <w:b/>
          <w:bCs/>
          <w:color w:val="auto"/>
          <w:kern w:val="0"/>
          <w:sz w:val="32"/>
          <w:szCs w:val="32"/>
        </w:rPr>
        <w:t>（由投标人填写）年（由投标人填写）月</w:t>
      </w:r>
    </w:p>
    <w:p>
      <w:pPr>
        <w:widowControl/>
        <w:spacing w:before="75" w:after="75"/>
        <w:jc w:val="left"/>
        <w:rPr>
          <w:rFonts w:ascii="宋体" w:cs="宋体"/>
          <w:color w:val="auto"/>
          <w:kern w:val="0"/>
          <w:sz w:val="32"/>
          <w:szCs w:val="32"/>
        </w:rPr>
      </w:pPr>
      <w:r>
        <w:rPr>
          <w:rFonts w:ascii="宋体" w:cs="宋体"/>
          <w:color w:val="auto"/>
          <w:kern w:val="0"/>
          <w:sz w:val="32"/>
          <w:szCs w:val="32"/>
        </w:rPr>
        <w:t> </w:t>
      </w:r>
    </w:p>
    <w:p>
      <w:pPr>
        <w:widowControl/>
        <w:spacing w:before="75" w:after="75"/>
        <w:jc w:val="center"/>
        <w:rPr>
          <w:rFonts w:ascii="宋体" w:cs="宋体"/>
          <w:color w:val="auto"/>
          <w:kern w:val="0"/>
          <w:sz w:val="24"/>
        </w:rPr>
      </w:pPr>
      <w:r>
        <w:rPr>
          <w:rFonts w:ascii="宋体" w:cs="宋体"/>
          <w:color w:val="auto"/>
          <w:kern w:val="0"/>
          <w:sz w:val="24"/>
        </w:rPr>
        <w:t> </w:t>
      </w:r>
      <w:r>
        <w:rPr>
          <w:rFonts w:ascii="宋体" w:cs="宋体"/>
          <w:color w:val="auto"/>
          <w:kern w:val="0"/>
          <w:sz w:val="24"/>
        </w:rPr>
        <w:br w:type="textWrapping"/>
      </w:r>
      <w:r>
        <w:rPr>
          <w:rFonts w:hint="eastAsia" w:ascii="宋体" w:hAnsi="宋体" w:cs="宋体"/>
          <w:b/>
          <w:bCs/>
          <w:color w:val="auto"/>
          <w:kern w:val="0"/>
          <w:sz w:val="24"/>
        </w:rPr>
        <w:t>索引</w:t>
      </w:r>
    </w:p>
    <w:p>
      <w:pPr>
        <w:widowControl/>
        <w:spacing w:before="75" w:after="75"/>
        <w:jc w:val="left"/>
        <w:rPr>
          <w:rFonts w:ascii="宋体" w:cs="宋体"/>
          <w:color w:val="auto"/>
          <w:kern w:val="0"/>
          <w:sz w:val="24"/>
        </w:rPr>
      </w:pPr>
      <w:r>
        <w:rPr>
          <w:rFonts w:hint="eastAsia" w:ascii="宋体" w:hAnsi="宋体" w:cs="宋体"/>
          <w:color w:val="auto"/>
          <w:kern w:val="0"/>
          <w:sz w:val="24"/>
        </w:rPr>
        <w:t>一、标的说明一览表</w:t>
      </w:r>
    </w:p>
    <w:p>
      <w:pPr>
        <w:widowControl/>
        <w:spacing w:before="75" w:after="75"/>
        <w:jc w:val="left"/>
        <w:rPr>
          <w:rFonts w:ascii="宋体" w:cs="宋体"/>
          <w:color w:val="auto"/>
          <w:kern w:val="0"/>
          <w:sz w:val="24"/>
        </w:rPr>
      </w:pPr>
      <w:r>
        <w:rPr>
          <w:rFonts w:hint="eastAsia" w:ascii="宋体" w:hAnsi="宋体" w:cs="宋体"/>
          <w:color w:val="auto"/>
          <w:kern w:val="0"/>
          <w:sz w:val="24"/>
        </w:rPr>
        <w:t>二、技术和服务要求响应表</w:t>
      </w:r>
    </w:p>
    <w:p>
      <w:pPr>
        <w:widowControl/>
        <w:spacing w:before="75" w:after="75"/>
        <w:jc w:val="left"/>
        <w:rPr>
          <w:rFonts w:ascii="宋体" w:cs="宋体"/>
          <w:color w:val="auto"/>
          <w:kern w:val="0"/>
          <w:sz w:val="24"/>
        </w:rPr>
      </w:pPr>
      <w:r>
        <w:rPr>
          <w:rFonts w:hint="eastAsia" w:ascii="宋体" w:hAnsi="宋体" w:cs="宋体"/>
          <w:color w:val="auto"/>
          <w:kern w:val="0"/>
          <w:sz w:val="24"/>
        </w:rPr>
        <w:t>三、商务条件响应表</w:t>
      </w:r>
    </w:p>
    <w:p>
      <w:pPr>
        <w:widowControl/>
        <w:spacing w:before="75" w:after="75"/>
        <w:jc w:val="left"/>
        <w:rPr>
          <w:rFonts w:ascii="宋体" w:cs="宋体"/>
          <w:color w:val="auto"/>
          <w:kern w:val="0"/>
          <w:sz w:val="24"/>
        </w:rPr>
      </w:pPr>
      <w:r>
        <w:rPr>
          <w:rFonts w:hint="eastAsia" w:ascii="宋体" w:hAnsi="宋体" w:cs="宋体"/>
          <w:color w:val="auto"/>
          <w:kern w:val="0"/>
          <w:sz w:val="24"/>
        </w:rPr>
        <w:t>四、投标人提交的其他资料（若有）</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24"/>
        </w:rPr>
      </w:pPr>
      <w:r>
        <w:rPr>
          <w:rFonts w:hint="eastAsia" w:ascii="宋体" w:hAnsi="宋体" w:cs="宋体"/>
          <w:color w:val="auto"/>
          <w:kern w:val="0"/>
          <w:sz w:val="24"/>
        </w:rPr>
        <w:t>注意</w:t>
      </w:r>
    </w:p>
    <w:p>
      <w:pPr>
        <w:widowControl/>
        <w:spacing w:before="75" w:after="75"/>
        <w:ind w:firstLine="420"/>
        <w:jc w:val="left"/>
        <w:rPr>
          <w:rFonts w:ascii="宋体" w:cs="宋体"/>
          <w:color w:val="auto"/>
          <w:kern w:val="0"/>
          <w:sz w:val="24"/>
        </w:rPr>
      </w:pPr>
      <w:r>
        <w:rPr>
          <w:rFonts w:hint="eastAsia" w:ascii="宋体" w:hAnsi="宋体" w:cs="宋体"/>
          <w:color w:val="auto"/>
          <w:kern w:val="0"/>
          <w:sz w:val="24"/>
        </w:rPr>
        <w:t>技术商务部分中不得出现报价部分的全部或部分的投标报价信息（或组成资料），否则</w:t>
      </w:r>
      <w:r>
        <w:rPr>
          <w:rFonts w:hint="eastAsia" w:ascii="宋体" w:hAnsi="宋体" w:cs="宋体"/>
          <w:b/>
          <w:bCs/>
          <w:color w:val="auto"/>
          <w:kern w:val="0"/>
          <w:sz w:val="24"/>
        </w:rPr>
        <w:t>符合性审查不合格</w:t>
      </w:r>
      <w:r>
        <w:rPr>
          <w:rFonts w:hint="eastAsia" w:ascii="宋体" w:hAnsi="宋体" w:cs="宋体"/>
          <w:color w:val="auto"/>
          <w:kern w:val="0"/>
          <w:sz w:val="24"/>
        </w:rPr>
        <w:t>。</w:t>
      </w:r>
    </w:p>
    <w:p>
      <w:pPr>
        <w:widowControl/>
        <w:spacing w:before="75" w:after="75"/>
        <w:ind w:firstLine="420"/>
        <w:jc w:val="left"/>
        <w:rPr>
          <w:rFonts w:ascii="宋体" w:cs="宋体"/>
          <w:color w:val="auto"/>
          <w:kern w:val="0"/>
          <w:sz w:val="24"/>
        </w:rPr>
      </w:pPr>
      <w:r>
        <w:rPr>
          <w:rFonts w:ascii="宋体" w:cs="宋体"/>
          <w:color w:val="auto"/>
          <w:kern w:val="0"/>
          <w:sz w:val="24"/>
        </w:rPr>
        <w:t> </w:t>
      </w: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pStyle w:val="2"/>
        <w:ind w:left="31680" w:firstLine="31680"/>
        <w:rPr>
          <w:rFonts w:ascii="宋体" w:hAnsi="宋体" w:eastAsia="宋体" w:cs="宋体"/>
          <w:color w:val="auto"/>
          <w:kern w:val="0"/>
          <w:sz w:val="24"/>
        </w:rPr>
      </w:pPr>
    </w:p>
    <w:p>
      <w:pPr>
        <w:widowControl/>
        <w:spacing w:before="75" w:after="75"/>
        <w:ind w:firstLine="420"/>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24"/>
        </w:rPr>
      </w:pPr>
      <w:r>
        <w:rPr>
          <w:rFonts w:hint="eastAsia" w:ascii="宋体" w:hAnsi="宋体" w:cs="宋体"/>
          <w:b/>
          <w:bCs/>
          <w:color w:val="auto"/>
          <w:kern w:val="0"/>
          <w:sz w:val="24"/>
        </w:rPr>
        <w:t>一、标的说明一览表</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招标编号：</w:t>
      </w:r>
      <w:r>
        <w:rPr>
          <w:rFonts w:ascii="宋体" w:cs="宋体"/>
          <w:color w:val="auto"/>
          <w:kern w:val="0"/>
          <w:sz w:val="24"/>
        </w:rPr>
        <w:t>                   </w:t>
      </w:r>
    </w:p>
    <w:tbl>
      <w:tblPr>
        <w:tblStyle w:val="16"/>
        <w:tblW w:w="929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68"/>
        <w:gridCol w:w="948"/>
        <w:gridCol w:w="1818"/>
        <w:gridCol w:w="944"/>
        <w:gridCol w:w="1241"/>
        <w:gridCol w:w="1241"/>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blCellSpacing w:w="15" w:type="dxa"/>
        </w:trPr>
        <w:tc>
          <w:tcPr>
            <w:tcW w:w="102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合同包</w:t>
            </w:r>
          </w:p>
        </w:tc>
        <w:tc>
          <w:tcPr>
            <w:tcW w:w="918"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品目号</w:t>
            </w:r>
          </w:p>
        </w:tc>
        <w:tc>
          <w:tcPr>
            <w:tcW w:w="1788"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投标标的</w:t>
            </w:r>
          </w:p>
        </w:tc>
        <w:tc>
          <w:tcPr>
            <w:tcW w:w="914"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数量</w:t>
            </w:r>
          </w:p>
        </w:tc>
        <w:tc>
          <w:tcPr>
            <w:tcW w:w="1211"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规格</w:t>
            </w:r>
          </w:p>
        </w:tc>
        <w:tc>
          <w:tcPr>
            <w:tcW w:w="1211"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来源地</w:t>
            </w:r>
          </w:p>
        </w:tc>
        <w:tc>
          <w:tcPr>
            <w:tcW w:w="1992"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tblCellSpacing w:w="15" w:type="dxa"/>
        </w:trPr>
        <w:tc>
          <w:tcPr>
            <w:tcW w:w="1023" w:type="dxa"/>
            <w:vMerge w:val="restart"/>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w:t>
            </w:r>
          </w:p>
        </w:tc>
        <w:tc>
          <w:tcPr>
            <w:tcW w:w="918"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eastAsia" w:ascii="宋体" w:hAnsi="宋体" w:eastAsia="宋体" w:cs="宋体"/>
                <w:sz w:val="21"/>
                <w:szCs w:val="21"/>
              </w:rPr>
              <w:t>*-1</w:t>
            </w:r>
          </w:p>
        </w:tc>
        <w:tc>
          <w:tcPr>
            <w:tcW w:w="1788" w:type="dxa"/>
            <w:noWrap w:val="0"/>
            <w:tcMar>
              <w:top w:w="0" w:type="dxa"/>
              <w:left w:w="105" w:type="dxa"/>
              <w:bottom w:w="0" w:type="dxa"/>
              <w:right w:w="105" w:type="dxa"/>
            </w:tcMar>
            <w:vAlign w:val="top"/>
          </w:tcPr>
          <w:p>
            <w:pPr>
              <w:keepNext w:val="0"/>
              <w:keepLines w:val="0"/>
              <w:widowControl/>
              <w:suppressLineNumbers w:val="0"/>
              <w:jc w:val="left"/>
            </w:pPr>
          </w:p>
        </w:tc>
        <w:tc>
          <w:tcPr>
            <w:tcW w:w="914" w:type="dxa"/>
            <w:noWrap w:val="0"/>
            <w:tcMar>
              <w:top w:w="0" w:type="dxa"/>
              <w:left w:w="105" w:type="dxa"/>
              <w:bottom w:w="0" w:type="dxa"/>
              <w:right w:w="105" w:type="dxa"/>
            </w:tcMar>
            <w:vAlign w:val="top"/>
          </w:tcPr>
          <w:p>
            <w:pPr>
              <w:keepNext w:val="0"/>
              <w:keepLines w:val="0"/>
              <w:widowControl/>
              <w:suppressLineNumbers w:val="0"/>
              <w:jc w:val="left"/>
            </w:pPr>
          </w:p>
        </w:tc>
        <w:tc>
          <w:tcPr>
            <w:tcW w:w="1211" w:type="dxa"/>
            <w:noWrap w:val="0"/>
            <w:tcMar>
              <w:top w:w="0" w:type="dxa"/>
              <w:left w:w="105" w:type="dxa"/>
              <w:bottom w:w="0" w:type="dxa"/>
              <w:right w:w="105" w:type="dxa"/>
            </w:tcMar>
            <w:vAlign w:val="top"/>
          </w:tcPr>
          <w:p>
            <w:pPr>
              <w:keepNext w:val="0"/>
              <w:keepLines w:val="0"/>
              <w:widowControl/>
              <w:suppressLineNumbers w:val="0"/>
              <w:jc w:val="left"/>
            </w:pPr>
          </w:p>
        </w:tc>
        <w:tc>
          <w:tcPr>
            <w:tcW w:w="1211" w:type="dxa"/>
            <w:noWrap w:val="0"/>
            <w:tcMar>
              <w:top w:w="0" w:type="dxa"/>
              <w:left w:w="105" w:type="dxa"/>
              <w:bottom w:w="0" w:type="dxa"/>
              <w:right w:w="105" w:type="dxa"/>
            </w:tcMar>
            <w:vAlign w:val="top"/>
          </w:tcPr>
          <w:p>
            <w:pPr>
              <w:keepNext w:val="0"/>
              <w:keepLines w:val="0"/>
              <w:widowControl/>
              <w:suppressLineNumbers w:val="0"/>
              <w:jc w:val="left"/>
            </w:pPr>
          </w:p>
        </w:tc>
        <w:tc>
          <w:tcPr>
            <w:tcW w:w="1992"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tblCellSpacing w:w="15" w:type="dxa"/>
        </w:trPr>
        <w:tc>
          <w:tcPr>
            <w:tcW w:w="1023" w:type="dxa"/>
            <w:vMerge w:val="continue"/>
            <w:noWrap w:val="0"/>
            <w:tcMar>
              <w:top w:w="0" w:type="dxa"/>
              <w:left w:w="105" w:type="dxa"/>
              <w:bottom w:w="0" w:type="dxa"/>
              <w:right w:w="105" w:type="dxa"/>
            </w:tcMar>
            <w:vAlign w:val="center"/>
          </w:tcPr>
          <w:p>
            <w:pPr>
              <w:rPr>
                <w:rFonts w:hint="eastAsia" w:ascii="宋体"/>
                <w:sz w:val="24"/>
                <w:szCs w:val="24"/>
              </w:rPr>
            </w:pPr>
          </w:p>
        </w:tc>
        <w:tc>
          <w:tcPr>
            <w:tcW w:w="918"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default" w:ascii="Calibri" w:hAnsi="Calibri" w:cs="Calibri"/>
                <w:sz w:val="21"/>
                <w:szCs w:val="21"/>
              </w:rPr>
              <w:t>…</w:t>
            </w:r>
          </w:p>
        </w:tc>
        <w:tc>
          <w:tcPr>
            <w:tcW w:w="1788" w:type="dxa"/>
            <w:noWrap w:val="0"/>
            <w:tcMar>
              <w:top w:w="0" w:type="dxa"/>
              <w:left w:w="105" w:type="dxa"/>
              <w:bottom w:w="0" w:type="dxa"/>
              <w:right w:w="105" w:type="dxa"/>
            </w:tcMar>
            <w:vAlign w:val="top"/>
          </w:tcPr>
          <w:p>
            <w:pPr>
              <w:keepNext w:val="0"/>
              <w:keepLines w:val="0"/>
              <w:widowControl/>
              <w:suppressLineNumbers w:val="0"/>
              <w:jc w:val="left"/>
            </w:pPr>
          </w:p>
        </w:tc>
        <w:tc>
          <w:tcPr>
            <w:tcW w:w="914" w:type="dxa"/>
            <w:noWrap w:val="0"/>
            <w:tcMar>
              <w:top w:w="0" w:type="dxa"/>
              <w:left w:w="105" w:type="dxa"/>
              <w:bottom w:w="0" w:type="dxa"/>
              <w:right w:w="105" w:type="dxa"/>
            </w:tcMar>
            <w:vAlign w:val="top"/>
          </w:tcPr>
          <w:p>
            <w:pPr>
              <w:keepNext w:val="0"/>
              <w:keepLines w:val="0"/>
              <w:widowControl/>
              <w:suppressLineNumbers w:val="0"/>
              <w:jc w:val="left"/>
            </w:pPr>
          </w:p>
        </w:tc>
        <w:tc>
          <w:tcPr>
            <w:tcW w:w="1211" w:type="dxa"/>
            <w:noWrap w:val="0"/>
            <w:tcMar>
              <w:top w:w="0" w:type="dxa"/>
              <w:left w:w="105" w:type="dxa"/>
              <w:bottom w:w="0" w:type="dxa"/>
              <w:right w:w="105" w:type="dxa"/>
            </w:tcMar>
            <w:vAlign w:val="top"/>
          </w:tcPr>
          <w:p>
            <w:pPr>
              <w:keepNext w:val="0"/>
              <w:keepLines w:val="0"/>
              <w:widowControl/>
              <w:suppressLineNumbers w:val="0"/>
              <w:jc w:val="left"/>
            </w:pPr>
          </w:p>
        </w:tc>
        <w:tc>
          <w:tcPr>
            <w:tcW w:w="1211" w:type="dxa"/>
            <w:noWrap w:val="0"/>
            <w:tcMar>
              <w:top w:w="0" w:type="dxa"/>
              <w:left w:w="105" w:type="dxa"/>
              <w:bottom w:w="0" w:type="dxa"/>
              <w:right w:w="105" w:type="dxa"/>
            </w:tcMar>
            <w:vAlign w:val="top"/>
          </w:tcPr>
          <w:p>
            <w:pPr>
              <w:keepNext w:val="0"/>
              <w:keepLines w:val="0"/>
              <w:widowControl/>
              <w:suppressLineNumbers w:val="0"/>
              <w:jc w:val="left"/>
            </w:pPr>
          </w:p>
        </w:tc>
        <w:tc>
          <w:tcPr>
            <w:tcW w:w="1992" w:type="dxa"/>
            <w:noWrap w:val="0"/>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6" w:hRule="atLeast"/>
          <w:tblCellSpacing w:w="15" w:type="dxa"/>
        </w:trPr>
        <w:tc>
          <w:tcPr>
            <w:tcW w:w="1023" w:type="dxa"/>
            <w:noWrap w:val="0"/>
            <w:tcMar>
              <w:top w:w="0" w:type="dxa"/>
              <w:left w:w="105" w:type="dxa"/>
              <w:bottom w:w="0" w:type="dxa"/>
              <w:right w:w="105" w:type="dxa"/>
            </w:tcMar>
            <w:vAlign w:val="center"/>
          </w:tcPr>
          <w:p>
            <w:pPr>
              <w:pStyle w:val="15"/>
              <w:keepNext w:val="0"/>
              <w:keepLines w:val="0"/>
              <w:widowControl/>
              <w:suppressLineNumbers w:val="0"/>
              <w:jc w:val="center"/>
            </w:pPr>
            <w:r>
              <w:rPr>
                <w:rFonts w:hint="default" w:ascii="Calibri" w:hAnsi="Calibri" w:cs="Calibri"/>
                <w:sz w:val="21"/>
                <w:szCs w:val="21"/>
              </w:rPr>
              <w:t>…</w:t>
            </w:r>
          </w:p>
        </w:tc>
        <w:tc>
          <w:tcPr>
            <w:tcW w:w="918" w:type="dxa"/>
            <w:noWrap w:val="0"/>
            <w:tcMar>
              <w:top w:w="0" w:type="dxa"/>
              <w:left w:w="105" w:type="dxa"/>
              <w:bottom w:w="0" w:type="dxa"/>
              <w:right w:w="105" w:type="dxa"/>
            </w:tcMar>
            <w:vAlign w:val="center"/>
          </w:tcPr>
          <w:p>
            <w:pPr>
              <w:keepNext w:val="0"/>
              <w:keepLines w:val="0"/>
              <w:widowControl/>
              <w:suppressLineNumbers w:val="0"/>
              <w:jc w:val="left"/>
            </w:pPr>
          </w:p>
        </w:tc>
        <w:tc>
          <w:tcPr>
            <w:tcW w:w="1788" w:type="dxa"/>
            <w:noWrap w:val="0"/>
            <w:tcMar>
              <w:top w:w="0" w:type="dxa"/>
              <w:left w:w="105" w:type="dxa"/>
              <w:bottom w:w="0" w:type="dxa"/>
              <w:right w:w="105" w:type="dxa"/>
            </w:tcMar>
            <w:vAlign w:val="top"/>
          </w:tcPr>
          <w:p>
            <w:pPr>
              <w:keepNext w:val="0"/>
              <w:keepLines w:val="0"/>
              <w:widowControl/>
              <w:suppressLineNumbers w:val="0"/>
              <w:jc w:val="left"/>
            </w:pPr>
          </w:p>
        </w:tc>
        <w:tc>
          <w:tcPr>
            <w:tcW w:w="914" w:type="dxa"/>
            <w:noWrap w:val="0"/>
            <w:tcMar>
              <w:top w:w="0" w:type="dxa"/>
              <w:left w:w="105" w:type="dxa"/>
              <w:bottom w:w="0" w:type="dxa"/>
              <w:right w:w="105" w:type="dxa"/>
            </w:tcMar>
            <w:vAlign w:val="top"/>
          </w:tcPr>
          <w:p>
            <w:pPr>
              <w:keepNext w:val="0"/>
              <w:keepLines w:val="0"/>
              <w:widowControl/>
              <w:suppressLineNumbers w:val="0"/>
              <w:jc w:val="left"/>
            </w:pPr>
          </w:p>
        </w:tc>
        <w:tc>
          <w:tcPr>
            <w:tcW w:w="1211" w:type="dxa"/>
            <w:noWrap w:val="0"/>
            <w:tcMar>
              <w:top w:w="0" w:type="dxa"/>
              <w:left w:w="105" w:type="dxa"/>
              <w:bottom w:w="0" w:type="dxa"/>
              <w:right w:w="105" w:type="dxa"/>
            </w:tcMar>
            <w:vAlign w:val="top"/>
          </w:tcPr>
          <w:p>
            <w:pPr>
              <w:keepNext w:val="0"/>
              <w:keepLines w:val="0"/>
              <w:widowControl/>
              <w:suppressLineNumbers w:val="0"/>
              <w:jc w:val="left"/>
            </w:pPr>
          </w:p>
        </w:tc>
        <w:tc>
          <w:tcPr>
            <w:tcW w:w="1211" w:type="dxa"/>
            <w:noWrap w:val="0"/>
            <w:tcMar>
              <w:top w:w="0" w:type="dxa"/>
              <w:left w:w="105" w:type="dxa"/>
              <w:bottom w:w="0" w:type="dxa"/>
              <w:right w:w="105" w:type="dxa"/>
            </w:tcMar>
            <w:vAlign w:val="top"/>
          </w:tcPr>
          <w:p>
            <w:pPr>
              <w:keepNext w:val="0"/>
              <w:keepLines w:val="0"/>
              <w:widowControl/>
              <w:suppressLineNumbers w:val="0"/>
              <w:jc w:val="left"/>
            </w:pPr>
          </w:p>
        </w:tc>
        <w:tc>
          <w:tcPr>
            <w:tcW w:w="1992" w:type="dxa"/>
            <w:noWrap w:val="0"/>
            <w:tcMar>
              <w:top w:w="0" w:type="dxa"/>
              <w:left w:w="105" w:type="dxa"/>
              <w:bottom w:w="0" w:type="dxa"/>
              <w:right w:w="105" w:type="dxa"/>
            </w:tcMar>
            <w:vAlign w:val="top"/>
          </w:tcPr>
          <w:p>
            <w:pPr>
              <w:keepNext w:val="0"/>
              <w:keepLines w:val="0"/>
              <w:widowControl/>
              <w:suppressLineNumbers w:val="0"/>
              <w:jc w:val="left"/>
            </w:pPr>
          </w:p>
        </w:tc>
      </w:tr>
    </w:tbl>
    <w:p>
      <w:pPr>
        <w:widowControl/>
        <w:spacing w:before="75" w:after="75"/>
        <w:jc w:val="left"/>
        <w:rPr>
          <w:rFonts w:ascii="宋体" w:cs="宋体"/>
          <w:color w:val="auto"/>
          <w:kern w:val="0"/>
          <w:sz w:val="24"/>
        </w:rPr>
      </w:pPr>
      <w:r>
        <w:rPr>
          <w:rFonts w:hint="eastAsia" w:ascii="宋体" w:hAnsi="宋体" w:cs="宋体"/>
          <w:color w:val="auto"/>
          <w:kern w:val="0"/>
          <w:sz w:val="24"/>
        </w:rPr>
        <w:t>注意：</w:t>
      </w:r>
    </w:p>
    <w:p>
      <w:pPr>
        <w:pStyle w:val="15"/>
        <w:keepNext w:val="0"/>
        <w:keepLines w:val="0"/>
        <w:widowControl/>
        <w:suppressLineNumbers w:val="0"/>
        <w:rPr>
          <w:sz w:val="32"/>
          <w:szCs w:val="32"/>
        </w:rPr>
      </w:pPr>
      <w:r>
        <w:rPr>
          <w:rFonts w:hint="eastAsia" w:ascii="宋体" w:hAnsi="宋体" w:eastAsia="宋体" w:cs="宋体"/>
          <w:sz w:val="24"/>
          <w:szCs w:val="24"/>
        </w:rPr>
        <w:t>1、本表应按照下列规定填写：</w:t>
      </w:r>
    </w:p>
    <w:p>
      <w:pPr>
        <w:pStyle w:val="15"/>
        <w:keepNext w:val="0"/>
        <w:keepLines w:val="0"/>
        <w:widowControl/>
        <w:suppressLineNumbers w:val="0"/>
        <w:rPr>
          <w:sz w:val="32"/>
          <w:szCs w:val="32"/>
        </w:rPr>
      </w:pPr>
      <w:r>
        <w:rPr>
          <w:rFonts w:hint="eastAsia" w:ascii="宋体" w:hAnsi="宋体" w:eastAsia="宋体" w:cs="宋体"/>
          <w:sz w:val="24"/>
          <w:szCs w:val="24"/>
        </w:rPr>
        <w:t>1.1“合同包”、“品目号”、“投标标的”及“数量”应与招标文件《采购标的一览表》中的有关内容（“合同包”、“品目号”、“采购标的”及“数量”）保持一致。</w:t>
      </w:r>
    </w:p>
    <w:p>
      <w:pPr>
        <w:pStyle w:val="15"/>
        <w:keepNext w:val="0"/>
        <w:keepLines w:val="0"/>
        <w:widowControl/>
        <w:suppressLineNumbers w:val="0"/>
        <w:rPr>
          <w:sz w:val="32"/>
          <w:szCs w:val="32"/>
        </w:rPr>
      </w:pPr>
      <w:r>
        <w:rPr>
          <w:rFonts w:hint="eastAsia" w:ascii="宋体" w:hAnsi="宋体" w:eastAsia="宋体" w:cs="宋体"/>
          <w:sz w:val="24"/>
          <w:szCs w:val="24"/>
        </w:rPr>
        <w:t>1.2“投标标的”为货物的：</w:t>
      </w:r>
      <w:r>
        <w:rPr>
          <w:rStyle w:val="20"/>
          <w:rFonts w:hint="eastAsia" w:ascii="宋体" w:hAnsi="宋体" w:eastAsia="宋体" w:cs="宋体"/>
          <w:sz w:val="24"/>
          <w:szCs w:val="24"/>
        </w:rPr>
        <w:t>“规格”</w:t>
      </w:r>
      <w:r>
        <w:rPr>
          <w:rFonts w:hint="eastAsia" w:ascii="宋体" w:hAnsi="宋体" w:eastAsia="宋体" w:cs="宋体"/>
          <w:sz w:val="24"/>
          <w:szCs w:val="24"/>
        </w:rPr>
        <w:t>项下应填写货物制造厂商赋予的品牌（属于节能、环保清单产品的货物，填写的品牌名称应与清单载明的品牌名称保持一致）及具体型号。</w:t>
      </w:r>
      <w:r>
        <w:rPr>
          <w:rStyle w:val="20"/>
          <w:rFonts w:hint="eastAsia" w:ascii="宋体" w:hAnsi="宋体" w:eastAsia="宋体" w:cs="宋体"/>
          <w:sz w:val="24"/>
          <w:szCs w:val="24"/>
        </w:rPr>
        <w:t>“来源地”</w:t>
      </w:r>
      <w:r>
        <w:rPr>
          <w:rFonts w:hint="eastAsia" w:ascii="宋体" w:hAnsi="宋体" w:eastAsia="宋体" w:cs="宋体"/>
          <w:sz w:val="24"/>
          <w:szCs w:val="24"/>
        </w:rPr>
        <w:t>应填写货物的原产地。</w:t>
      </w:r>
      <w:r>
        <w:rPr>
          <w:rStyle w:val="20"/>
          <w:rFonts w:hint="eastAsia" w:ascii="宋体" w:hAnsi="宋体" w:eastAsia="宋体" w:cs="宋体"/>
          <w:sz w:val="24"/>
          <w:szCs w:val="24"/>
        </w:rPr>
        <w:t>“备注”</w:t>
      </w:r>
      <w:r>
        <w:rPr>
          <w:rFonts w:hint="eastAsia" w:ascii="宋体" w:hAnsi="宋体" w:eastAsia="宋体" w:cs="宋体"/>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5"/>
        <w:keepNext w:val="0"/>
        <w:keepLines w:val="0"/>
        <w:widowControl/>
        <w:suppressLineNumbers w:val="0"/>
        <w:rPr>
          <w:sz w:val="32"/>
          <w:szCs w:val="32"/>
        </w:rPr>
      </w:pPr>
      <w:r>
        <w:rPr>
          <w:rFonts w:hint="eastAsia" w:ascii="宋体" w:hAnsi="宋体" w:eastAsia="宋体" w:cs="宋体"/>
          <w:sz w:val="24"/>
          <w:szCs w:val="24"/>
        </w:rPr>
        <w:t>1.3“投标标的”为服务的：</w:t>
      </w:r>
      <w:r>
        <w:rPr>
          <w:rStyle w:val="20"/>
          <w:rFonts w:hint="eastAsia" w:ascii="宋体" w:hAnsi="宋体" w:eastAsia="宋体" w:cs="宋体"/>
          <w:sz w:val="24"/>
          <w:szCs w:val="24"/>
        </w:rPr>
        <w:t>“规格”</w:t>
      </w:r>
      <w:r>
        <w:rPr>
          <w:rFonts w:hint="eastAsia" w:ascii="宋体" w:hAnsi="宋体" w:eastAsia="宋体" w:cs="宋体"/>
          <w:sz w:val="24"/>
          <w:szCs w:val="24"/>
        </w:rPr>
        <w:t>项下应填写服务提供者提供的服务标准及品牌（若有）。</w:t>
      </w:r>
      <w:r>
        <w:rPr>
          <w:rStyle w:val="20"/>
          <w:rFonts w:hint="eastAsia" w:ascii="宋体" w:hAnsi="宋体" w:eastAsia="宋体" w:cs="宋体"/>
          <w:sz w:val="24"/>
          <w:szCs w:val="24"/>
        </w:rPr>
        <w:t>“来源地”</w:t>
      </w:r>
      <w:r>
        <w:rPr>
          <w:rFonts w:hint="eastAsia" w:ascii="宋体" w:hAnsi="宋体" w:eastAsia="宋体" w:cs="宋体"/>
          <w:sz w:val="24"/>
          <w:szCs w:val="24"/>
        </w:rPr>
        <w:t>应填写服务提供者的所在地。</w:t>
      </w:r>
      <w:r>
        <w:rPr>
          <w:rStyle w:val="20"/>
          <w:rFonts w:hint="eastAsia" w:ascii="宋体" w:hAnsi="宋体" w:eastAsia="宋体" w:cs="宋体"/>
          <w:sz w:val="24"/>
          <w:szCs w:val="24"/>
        </w:rPr>
        <w:t>“备注”</w:t>
      </w:r>
      <w:r>
        <w:rPr>
          <w:rFonts w:hint="eastAsia" w:ascii="宋体" w:hAnsi="宋体" w:eastAsia="宋体" w:cs="宋体"/>
          <w:sz w:val="24"/>
          <w:szCs w:val="24"/>
        </w:rPr>
        <w:t>项下应填写关于服务标准所涵盖的具体项目或内容的说明等。</w:t>
      </w:r>
    </w:p>
    <w:p>
      <w:pPr>
        <w:pStyle w:val="15"/>
        <w:keepNext w:val="0"/>
        <w:keepLines w:val="0"/>
        <w:widowControl/>
        <w:suppressLineNumbers w:val="0"/>
        <w:rPr>
          <w:sz w:val="32"/>
          <w:szCs w:val="32"/>
        </w:rPr>
      </w:pPr>
      <w:r>
        <w:rPr>
          <w:rFonts w:hint="eastAsia" w:ascii="宋体" w:hAnsi="宋体" w:eastAsia="宋体" w:cs="宋体"/>
          <w:sz w:val="24"/>
          <w:szCs w:val="24"/>
        </w:rPr>
        <w:t>2、投标人需要说明的内容若需特殊表达，应先在本表中进行相应说明，再另页应答，否则</w:t>
      </w:r>
      <w:r>
        <w:rPr>
          <w:rStyle w:val="20"/>
          <w:rFonts w:hint="eastAsia" w:ascii="宋体" w:hAnsi="宋体" w:eastAsia="宋体" w:cs="宋体"/>
          <w:sz w:val="24"/>
          <w:szCs w:val="24"/>
        </w:rPr>
        <w:t>投标无效</w:t>
      </w:r>
      <w:r>
        <w:rPr>
          <w:rFonts w:hint="eastAsia" w:ascii="宋体" w:hAnsi="宋体" w:eastAsia="宋体" w:cs="宋体"/>
          <w:sz w:val="24"/>
          <w:szCs w:val="24"/>
        </w:rPr>
        <w:t>。</w:t>
      </w:r>
    </w:p>
    <w:p>
      <w:pPr>
        <w:pStyle w:val="15"/>
        <w:keepNext w:val="0"/>
        <w:keepLines w:val="0"/>
        <w:widowControl/>
        <w:suppressLineNumbers w:val="0"/>
        <w:rPr>
          <w:sz w:val="32"/>
          <w:szCs w:val="32"/>
        </w:rPr>
      </w:pPr>
      <w:r>
        <w:rPr>
          <w:rFonts w:hint="eastAsia" w:ascii="宋体" w:hAnsi="宋体" w:eastAsia="宋体" w:cs="宋体"/>
          <w:sz w:val="24"/>
          <w:szCs w:val="24"/>
        </w:rPr>
        <w:t>3、投标文件中涉及</w:t>
      </w:r>
      <w:r>
        <w:rPr>
          <w:rStyle w:val="20"/>
          <w:rFonts w:hint="eastAsia" w:ascii="宋体" w:hAnsi="宋体" w:eastAsia="宋体" w:cs="宋体"/>
          <w:sz w:val="24"/>
          <w:szCs w:val="24"/>
        </w:rPr>
        <w:t>“投标标的”、“数量”、“规格”、“来源地”</w:t>
      </w:r>
      <w:r>
        <w:rPr>
          <w:rFonts w:hint="eastAsia" w:ascii="宋体" w:hAnsi="宋体" w:eastAsia="宋体" w:cs="宋体"/>
          <w:sz w:val="24"/>
          <w:szCs w:val="24"/>
        </w:rPr>
        <w:t>的内容若不一致，</w:t>
      </w:r>
      <w:r>
        <w:rPr>
          <w:rStyle w:val="20"/>
          <w:rFonts w:hint="eastAsia" w:ascii="宋体" w:hAnsi="宋体" w:eastAsia="宋体" w:cs="宋体"/>
          <w:sz w:val="24"/>
          <w:szCs w:val="24"/>
        </w:rPr>
        <w:t>应以本表为准</w:t>
      </w:r>
      <w:r>
        <w:rPr>
          <w:rFonts w:hint="eastAsia" w:ascii="宋体" w:hAnsi="宋体" w:eastAsia="宋体" w:cs="宋体"/>
          <w:sz w:val="24"/>
          <w:szCs w:val="24"/>
        </w:rPr>
        <w:t>。</w:t>
      </w:r>
    </w:p>
    <w:p>
      <w:pPr>
        <w:widowControl/>
        <w:spacing w:before="75" w:after="75"/>
        <w:jc w:val="left"/>
        <w:rPr>
          <w:rFonts w:ascii="宋体" w:cs="宋体"/>
          <w:color w:val="auto"/>
          <w:kern w:val="0"/>
          <w:sz w:val="24"/>
        </w:rPr>
      </w:pPr>
    </w:p>
    <w:p>
      <w:pPr>
        <w:widowControl/>
        <w:spacing w:before="75" w:after="75"/>
        <w:jc w:val="left"/>
        <w:rPr>
          <w:rFonts w:ascii="宋体" w:cs="宋体"/>
          <w:color w:val="auto"/>
          <w:kern w:val="0"/>
          <w:sz w:val="24"/>
        </w:rPr>
      </w:pP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w:t>
      </w:r>
      <w:r>
        <w:rPr>
          <w:rFonts w:ascii="宋体" w:hAnsi="宋体" w:cs="宋体"/>
          <w:color w:val="auto"/>
          <w:kern w:val="0"/>
          <w:sz w:val="24"/>
          <w:u w:val="single"/>
        </w:rPr>
        <w:t>（全称并加盖单位公章）</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投标人代表签字：</w:t>
      </w:r>
      <w:r>
        <w:rPr>
          <w:rFonts w:ascii="宋体" w:hAnsi="宋体" w:cs="宋体"/>
          <w:color w:val="auto"/>
          <w:kern w:val="0"/>
          <w:sz w:val="24"/>
          <w:u w:val="single"/>
        </w:rPr>
        <w:t>         </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日期：</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p>
    <w:p>
      <w:pPr>
        <w:widowControl/>
        <w:spacing w:before="75" w:after="75"/>
        <w:jc w:val="center"/>
        <w:rPr>
          <w:rFonts w:ascii="宋体" w:cs="宋体"/>
          <w:b/>
          <w:bCs/>
          <w:color w:val="auto"/>
          <w:kern w:val="0"/>
          <w:sz w:val="24"/>
        </w:rPr>
      </w:pPr>
      <w:r>
        <w:rPr>
          <w:rFonts w:ascii="宋体" w:cs="宋体"/>
          <w:b/>
          <w:bCs/>
          <w:color w:val="auto"/>
          <w:kern w:val="0"/>
          <w:sz w:val="24"/>
        </w:rPr>
        <w:br w:type="textWrapping"/>
      </w:r>
    </w:p>
    <w:p>
      <w:pPr>
        <w:pStyle w:val="2"/>
        <w:ind w:left="0" w:leftChars="0" w:firstLine="0" w:firstLineChars="0"/>
        <w:rPr>
          <w:rFonts w:ascii="宋体" w:hAnsi="宋体" w:eastAsia="宋体" w:cs="宋体"/>
          <w:b/>
          <w:bCs/>
          <w:color w:val="auto"/>
          <w:kern w:val="0"/>
          <w:sz w:val="24"/>
        </w:rPr>
      </w:pPr>
    </w:p>
    <w:p>
      <w:pPr>
        <w:widowControl/>
        <w:spacing w:before="75" w:after="75"/>
        <w:jc w:val="center"/>
        <w:rPr>
          <w:rFonts w:ascii="宋体" w:cs="宋体"/>
          <w:color w:val="auto"/>
          <w:kern w:val="0"/>
          <w:sz w:val="24"/>
        </w:rPr>
      </w:pPr>
      <w:r>
        <w:rPr>
          <w:rFonts w:hint="eastAsia" w:ascii="宋体" w:hAnsi="宋体" w:cs="宋体"/>
          <w:b/>
          <w:bCs/>
          <w:color w:val="auto"/>
          <w:kern w:val="0"/>
          <w:sz w:val="24"/>
        </w:rPr>
        <w:t>二、技术和服务要求响应表</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招标编号：</w:t>
      </w:r>
      <w:r>
        <w:rPr>
          <w:rFonts w:ascii="宋体" w:cs="宋体"/>
          <w:color w:val="auto"/>
          <w:kern w:val="0"/>
          <w:sz w:val="24"/>
        </w:rPr>
        <w:t>                   </w:t>
      </w:r>
    </w:p>
    <w:tbl>
      <w:tblPr>
        <w:tblStyle w:val="16"/>
        <w:tblW w:w="953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9"/>
        <w:gridCol w:w="980"/>
        <w:gridCol w:w="3276"/>
        <w:gridCol w:w="2053"/>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6" w:hRule="atLeast"/>
          <w:tblCellSpacing w:w="15" w:type="dxa"/>
        </w:trPr>
        <w:tc>
          <w:tcPr>
            <w:tcW w:w="1064"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合同包</w:t>
            </w:r>
          </w:p>
        </w:tc>
        <w:tc>
          <w:tcPr>
            <w:tcW w:w="950"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品目号</w:t>
            </w:r>
          </w:p>
        </w:tc>
        <w:tc>
          <w:tcPr>
            <w:tcW w:w="3246"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技术和服务要求</w:t>
            </w:r>
          </w:p>
        </w:tc>
        <w:tc>
          <w:tcPr>
            <w:tcW w:w="2023"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投标响应</w:t>
            </w:r>
          </w:p>
        </w:tc>
        <w:tc>
          <w:tcPr>
            <w:tcW w:w="2074"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tblCellSpacing w:w="15" w:type="dxa"/>
        </w:trPr>
        <w:tc>
          <w:tcPr>
            <w:tcW w:w="1064" w:type="dxa"/>
            <w:vMerge w:val="restart"/>
            <w:tcMar>
              <w:top w:w="0" w:type="dxa"/>
              <w:left w:w="105" w:type="dxa"/>
              <w:bottom w:w="0" w:type="dxa"/>
              <w:right w:w="105" w:type="dxa"/>
            </w:tcMar>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950" w:type="dxa"/>
            <w:tcMar>
              <w:top w:w="0" w:type="dxa"/>
              <w:left w:w="105" w:type="dxa"/>
              <w:bottom w:w="0" w:type="dxa"/>
              <w:right w:w="105" w:type="dxa"/>
            </w:tcMar>
            <w:vAlign w:val="center"/>
          </w:tcPr>
          <w:p>
            <w:pPr>
              <w:widowControl/>
              <w:jc w:val="center"/>
              <w:rPr>
                <w:rFonts w:ascii="宋体" w:hAnsi="宋体" w:cs="宋体"/>
                <w:color w:val="auto"/>
                <w:kern w:val="0"/>
                <w:sz w:val="24"/>
              </w:rPr>
            </w:pPr>
            <w:r>
              <w:rPr>
                <w:rFonts w:ascii="宋体" w:hAnsi="宋体" w:cs="宋体"/>
                <w:color w:val="auto"/>
                <w:kern w:val="0"/>
                <w:sz w:val="24"/>
              </w:rPr>
              <w:t>1-1</w:t>
            </w:r>
          </w:p>
        </w:tc>
        <w:tc>
          <w:tcPr>
            <w:tcW w:w="3246" w:type="dxa"/>
            <w:tcMar>
              <w:top w:w="0" w:type="dxa"/>
              <w:left w:w="105" w:type="dxa"/>
              <w:bottom w:w="0" w:type="dxa"/>
              <w:right w:w="105" w:type="dxa"/>
            </w:tcMar>
          </w:tcPr>
          <w:p>
            <w:pPr>
              <w:widowControl/>
              <w:jc w:val="left"/>
              <w:rPr>
                <w:rFonts w:ascii="宋体" w:cs="宋体"/>
                <w:color w:val="auto"/>
                <w:kern w:val="0"/>
                <w:sz w:val="24"/>
              </w:rPr>
            </w:pPr>
          </w:p>
        </w:tc>
        <w:tc>
          <w:tcPr>
            <w:tcW w:w="2023" w:type="dxa"/>
            <w:tcMar>
              <w:top w:w="0" w:type="dxa"/>
              <w:left w:w="105" w:type="dxa"/>
              <w:bottom w:w="0" w:type="dxa"/>
              <w:right w:w="105" w:type="dxa"/>
            </w:tcMar>
          </w:tcPr>
          <w:p>
            <w:pPr>
              <w:widowControl/>
              <w:jc w:val="left"/>
              <w:rPr>
                <w:rFonts w:ascii="宋体" w:cs="宋体"/>
                <w:color w:val="auto"/>
                <w:kern w:val="0"/>
                <w:sz w:val="24"/>
              </w:rPr>
            </w:pPr>
          </w:p>
        </w:tc>
        <w:tc>
          <w:tcPr>
            <w:tcW w:w="2074"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1" w:hRule="atLeast"/>
          <w:tblCellSpacing w:w="15" w:type="dxa"/>
        </w:trPr>
        <w:tc>
          <w:tcPr>
            <w:tcW w:w="1064" w:type="dxa"/>
            <w:vMerge w:val="continue"/>
            <w:vAlign w:val="center"/>
          </w:tcPr>
          <w:p>
            <w:pPr>
              <w:widowControl/>
              <w:jc w:val="left"/>
              <w:rPr>
                <w:rFonts w:ascii="宋体" w:cs="宋体"/>
                <w:color w:val="auto"/>
                <w:kern w:val="0"/>
                <w:sz w:val="24"/>
              </w:rPr>
            </w:pPr>
          </w:p>
        </w:tc>
        <w:tc>
          <w:tcPr>
            <w:tcW w:w="950"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w:t>
            </w:r>
          </w:p>
        </w:tc>
        <w:tc>
          <w:tcPr>
            <w:tcW w:w="3246" w:type="dxa"/>
            <w:tcMar>
              <w:top w:w="0" w:type="dxa"/>
              <w:left w:w="105" w:type="dxa"/>
              <w:bottom w:w="0" w:type="dxa"/>
              <w:right w:w="105" w:type="dxa"/>
            </w:tcMar>
          </w:tcPr>
          <w:p>
            <w:pPr>
              <w:widowControl/>
              <w:jc w:val="left"/>
              <w:rPr>
                <w:rFonts w:ascii="宋体" w:cs="宋体"/>
                <w:color w:val="auto"/>
                <w:kern w:val="0"/>
                <w:sz w:val="24"/>
              </w:rPr>
            </w:pPr>
          </w:p>
        </w:tc>
        <w:tc>
          <w:tcPr>
            <w:tcW w:w="2023" w:type="dxa"/>
            <w:tcMar>
              <w:top w:w="0" w:type="dxa"/>
              <w:left w:w="105" w:type="dxa"/>
              <w:bottom w:w="0" w:type="dxa"/>
              <w:right w:w="105" w:type="dxa"/>
            </w:tcMar>
          </w:tcPr>
          <w:p>
            <w:pPr>
              <w:widowControl/>
              <w:jc w:val="left"/>
              <w:rPr>
                <w:rFonts w:ascii="宋体" w:cs="宋体"/>
                <w:color w:val="auto"/>
                <w:kern w:val="0"/>
                <w:sz w:val="24"/>
              </w:rPr>
            </w:pPr>
          </w:p>
        </w:tc>
        <w:tc>
          <w:tcPr>
            <w:tcW w:w="2074"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tblCellSpacing w:w="15" w:type="dxa"/>
        </w:trPr>
        <w:tc>
          <w:tcPr>
            <w:tcW w:w="1064"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w:t>
            </w:r>
          </w:p>
        </w:tc>
        <w:tc>
          <w:tcPr>
            <w:tcW w:w="950" w:type="dxa"/>
            <w:tcMar>
              <w:top w:w="0" w:type="dxa"/>
              <w:left w:w="105" w:type="dxa"/>
              <w:bottom w:w="0" w:type="dxa"/>
              <w:right w:w="105" w:type="dxa"/>
            </w:tcMar>
            <w:vAlign w:val="center"/>
          </w:tcPr>
          <w:p>
            <w:pPr>
              <w:widowControl/>
              <w:jc w:val="left"/>
              <w:rPr>
                <w:rFonts w:ascii="宋体" w:cs="宋体"/>
                <w:color w:val="auto"/>
                <w:kern w:val="0"/>
                <w:sz w:val="24"/>
              </w:rPr>
            </w:pPr>
          </w:p>
        </w:tc>
        <w:tc>
          <w:tcPr>
            <w:tcW w:w="3246" w:type="dxa"/>
            <w:tcMar>
              <w:top w:w="0" w:type="dxa"/>
              <w:left w:w="105" w:type="dxa"/>
              <w:bottom w:w="0" w:type="dxa"/>
              <w:right w:w="105" w:type="dxa"/>
            </w:tcMar>
            <w:vAlign w:val="center"/>
          </w:tcPr>
          <w:p>
            <w:pPr>
              <w:widowControl/>
              <w:jc w:val="left"/>
              <w:rPr>
                <w:rFonts w:ascii="宋体" w:cs="宋体"/>
                <w:color w:val="auto"/>
                <w:kern w:val="0"/>
                <w:sz w:val="24"/>
              </w:rPr>
            </w:pPr>
          </w:p>
        </w:tc>
        <w:tc>
          <w:tcPr>
            <w:tcW w:w="2023" w:type="dxa"/>
            <w:tcMar>
              <w:top w:w="0" w:type="dxa"/>
              <w:left w:w="105" w:type="dxa"/>
              <w:bottom w:w="0" w:type="dxa"/>
              <w:right w:w="105" w:type="dxa"/>
            </w:tcMar>
            <w:vAlign w:val="center"/>
          </w:tcPr>
          <w:p>
            <w:pPr>
              <w:widowControl/>
              <w:jc w:val="left"/>
              <w:rPr>
                <w:rFonts w:ascii="宋体" w:cs="宋体"/>
                <w:color w:val="auto"/>
                <w:kern w:val="0"/>
                <w:sz w:val="24"/>
              </w:rPr>
            </w:pPr>
          </w:p>
        </w:tc>
        <w:tc>
          <w:tcPr>
            <w:tcW w:w="2074" w:type="dxa"/>
            <w:tcMar>
              <w:top w:w="0" w:type="dxa"/>
              <w:left w:w="105" w:type="dxa"/>
              <w:bottom w:w="0" w:type="dxa"/>
              <w:right w:w="105" w:type="dxa"/>
            </w:tcMar>
            <w:vAlign w:val="center"/>
          </w:tcPr>
          <w:p>
            <w:pPr>
              <w:widowControl/>
              <w:jc w:val="left"/>
              <w:rPr>
                <w:rFonts w:ascii="宋体" w:cs="宋体"/>
                <w:color w:val="auto"/>
                <w:kern w:val="0"/>
                <w:sz w:val="24"/>
              </w:rPr>
            </w:pPr>
          </w:p>
        </w:tc>
      </w:tr>
    </w:tbl>
    <w:p>
      <w:pPr>
        <w:widowControl/>
        <w:spacing w:before="75" w:after="75"/>
        <w:jc w:val="left"/>
        <w:rPr>
          <w:rFonts w:ascii="宋体" w:cs="宋体"/>
          <w:color w:val="auto"/>
          <w:kern w:val="0"/>
          <w:sz w:val="24"/>
        </w:rPr>
      </w:pPr>
      <w:r>
        <w:rPr>
          <w:rFonts w:hint="eastAsia" w:ascii="宋体" w:hAnsi="宋体" w:cs="宋体"/>
          <w:color w:val="auto"/>
          <w:kern w:val="0"/>
          <w:sz w:val="24"/>
        </w:rPr>
        <w:t>注意：</w:t>
      </w:r>
    </w:p>
    <w:p>
      <w:pPr>
        <w:widowControl/>
        <w:spacing w:before="75" w:after="75"/>
        <w:jc w:val="left"/>
        <w:rPr>
          <w:rFonts w:hint="eastAsia" w:ascii="宋体" w:cs="宋体"/>
          <w:color w:val="auto"/>
          <w:kern w:val="0"/>
          <w:sz w:val="24"/>
        </w:rPr>
      </w:pPr>
      <w:r>
        <w:rPr>
          <w:rFonts w:hint="eastAsia" w:ascii="宋体" w:cs="宋体"/>
          <w:color w:val="auto"/>
          <w:kern w:val="0"/>
          <w:sz w:val="24"/>
        </w:rPr>
        <w:t>1、本表应按照下列规定填写：</w:t>
      </w:r>
    </w:p>
    <w:p>
      <w:pPr>
        <w:widowControl/>
        <w:spacing w:before="75" w:after="75"/>
        <w:jc w:val="left"/>
        <w:rPr>
          <w:rFonts w:hint="eastAsia" w:ascii="宋体" w:cs="宋体"/>
          <w:color w:val="auto"/>
          <w:kern w:val="0"/>
          <w:sz w:val="24"/>
        </w:rPr>
      </w:pPr>
      <w:r>
        <w:rPr>
          <w:rFonts w:hint="eastAsia" w:ascii="宋体" w:cs="宋体"/>
          <w:color w:val="auto"/>
          <w:kern w:val="0"/>
          <w:sz w:val="24"/>
        </w:rPr>
        <w:t>1.1“技术和服务要求”项下填写的内容应与招标文件第五章“技术和服务要求”的内容保持一致。</w:t>
      </w:r>
    </w:p>
    <w:p>
      <w:pPr>
        <w:widowControl/>
        <w:spacing w:before="75" w:after="75"/>
        <w:jc w:val="left"/>
        <w:rPr>
          <w:rFonts w:hint="eastAsia" w:ascii="宋体" w:cs="宋体"/>
          <w:color w:val="auto"/>
          <w:kern w:val="0"/>
          <w:sz w:val="24"/>
        </w:rPr>
      </w:pPr>
      <w:r>
        <w:rPr>
          <w:rFonts w:hint="eastAsia" w:ascii="宋体" w:cs="宋体"/>
          <w:color w:val="auto"/>
          <w:kern w:val="0"/>
          <w:sz w:val="24"/>
        </w:rPr>
        <w:t>1.2“投标响应”项下应填写具体的响应内容并与“技术和服务要求”项下填写的内容逐项对应；对“技术和服务要求”项下涉及“≥或＞”、“≤或＜”及某个区间值范围内的内容，应填写具体的数值。</w:t>
      </w:r>
    </w:p>
    <w:p>
      <w:pPr>
        <w:widowControl/>
        <w:spacing w:before="75" w:after="75"/>
        <w:jc w:val="left"/>
        <w:rPr>
          <w:rFonts w:hint="eastAsia" w:ascii="宋体" w:cs="宋体"/>
          <w:color w:val="auto"/>
          <w:kern w:val="0"/>
          <w:sz w:val="24"/>
        </w:rPr>
      </w:pPr>
      <w:r>
        <w:rPr>
          <w:rFonts w:hint="eastAsia" w:ascii="宋体" w:cs="宋体"/>
          <w:color w:val="auto"/>
          <w:kern w:val="0"/>
          <w:sz w:val="24"/>
        </w:rPr>
        <w:t>1.3“是否偏离及说明”项下应按下列规定填写：优于的，填写“正偏离”；符合的，填写“无偏离”；低于的，填写“负偏离”。</w:t>
      </w:r>
    </w:p>
    <w:p>
      <w:pPr>
        <w:widowControl/>
        <w:spacing w:before="75" w:after="75"/>
        <w:jc w:val="left"/>
        <w:rPr>
          <w:rFonts w:ascii="宋体" w:cs="宋体"/>
          <w:color w:val="auto"/>
          <w:kern w:val="0"/>
          <w:sz w:val="24"/>
        </w:rPr>
      </w:pPr>
      <w:r>
        <w:rPr>
          <w:rFonts w:hint="eastAsia" w:ascii="宋体" w:cs="宋体"/>
          <w:color w:val="auto"/>
          <w:kern w:val="0"/>
          <w:sz w:val="24"/>
        </w:rPr>
        <w:t>2、投标人需要说明的内容若需特殊表达，应先在本表中进行相应说明，再    另页应答，否则投标无效。</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w:t>
      </w:r>
      <w:r>
        <w:rPr>
          <w:rFonts w:ascii="宋体" w:hAnsi="宋体" w:cs="宋体"/>
          <w:color w:val="auto"/>
          <w:kern w:val="0"/>
          <w:sz w:val="24"/>
          <w:u w:val="single"/>
        </w:rPr>
        <w:t>（全称并加盖单位公章）</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投标人代表签字：</w:t>
      </w:r>
      <w:r>
        <w:rPr>
          <w:rFonts w:ascii="宋体" w:hAnsi="宋体" w:cs="宋体"/>
          <w:color w:val="auto"/>
          <w:kern w:val="0"/>
          <w:sz w:val="24"/>
          <w:u w:val="single"/>
        </w:rPr>
        <w:t>         </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日期：</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pStyle w:val="7"/>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r>
        <w:rPr>
          <w:rFonts w:hint="eastAsia" w:ascii="宋体" w:hAnsi="宋体" w:cs="宋体"/>
          <w:b/>
          <w:bCs/>
          <w:color w:val="auto"/>
          <w:kern w:val="0"/>
          <w:sz w:val="24"/>
        </w:rPr>
        <w:t>三、商务条件响应表</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hint="eastAsia" w:ascii="宋体" w:hAnsi="宋体" w:cs="宋体"/>
          <w:color w:val="auto"/>
          <w:kern w:val="0"/>
          <w:sz w:val="24"/>
        </w:rPr>
        <w:t>招标编号：</w:t>
      </w:r>
      <w:r>
        <w:rPr>
          <w:rFonts w:ascii="宋体" w:cs="宋体"/>
          <w:color w:val="auto"/>
          <w:kern w:val="0"/>
          <w:sz w:val="24"/>
        </w:rPr>
        <w:t>                   </w:t>
      </w:r>
    </w:p>
    <w:tbl>
      <w:tblPr>
        <w:tblStyle w:val="16"/>
        <w:tblW w:w="934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90"/>
        <w:gridCol w:w="1098"/>
        <w:gridCol w:w="3437"/>
        <w:gridCol w:w="300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6" w:hRule="atLeast"/>
          <w:tblCellSpacing w:w="15" w:type="dxa"/>
        </w:trPr>
        <w:tc>
          <w:tcPr>
            <w:tcW w:w="645"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合同包</w:t>
            </w: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品目号</w:t>
            </w:r>
          </w:p>
        </w:tc>
        <w:tc>
          <w:tcPr>
            <w:tcW w:w="3407"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商务条件</w:t>
            </w:r>
          </w:p>
        </w:tc>
        <w:tc>
          <w:tcPr>
            <w:tcW w:w="2970"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投标响应</w:t>
            </w:r>
          </w:p>
        </w:tc>
        <w:tc>
          <w:tcPr>
            <w:tcW w:w="1073"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blCellSpacing w:w="15" w:type="dxa"/>
        </w:trPr>
        <w:tc>
          <w:tcPr>
            <w:tcW w:w="645" w:type="dxa"/>
            <w:vMerge w:val="restart"/>
            <w:tcMar>
              <w:top w:w="0" w:type="dxa"/>
              <w:left w:w="105" w:type="dxa"/>
              <w:bottom w:w="0" w:type="dxa"/>
              <w:right w:w="105" w:type="dxa"/>
            </w:tcMar>
            <w:vAlign w:val="center"/>
          </w:tcPr>
          <w:p>
            <w:pPr>
              <w:widowControl/>
              <w:jc w:val="center"/>
              <w:rPr>
                <w:rFonts w:ascii="宋体" w:hAnsi="宋体" w:cs="宋体"/>
                <w:color w:val="auto"/>
                <w:kern w:val="0"/>
                <w:sz w:val="24"/>
              </w:rPr>
            </w:pPr>
            <w:r>
              <w:rPr>
                <w:rFonts w:ascii="宋体" w:hAnsi="宋体" w:cs="宋体"/>
                <w:color w:val="auto"/>
                <w:kern w:val="0"/>
                <w:sz w:val="24"/>
              </w:rPr>
              <w:t>1</w:t>
            </w:r>
          </w:p>
        </w:tc>
        <w:tc>
          <w:tcPr>
            <w:tcW w:w="1068" w:type="dxa"/>
            <w:tcMar>
              <w:top w:w="0" w:type="dxa"/>
              <w:left w:w="105" w:type="dxa"/>
              <w:bottom w:w="0" w:type="dxa"/>
              <w:right w:w="105" w:type="dxa"/>
            </w:tcMar>
            <w:vAlign w:val="center"/>
          </w:tcPr>
          <w:p>
            <w:pPr>
              <w:widowControl/>
              <w:jc w:val="center"/>
              <w:rPr>
                <w:rFonts w:ascii="宋体" w:hAnsi="宋体" w:cs="宋体"/>
                <w:color w:val="auto"/>
                <w:kern w:val="0"/>
                <w:sz w:val="24"/>
              </w:rPr>
            </w:pPr>
            <w:r>
              <w:rPr>
                <w:rFonts w:ascii="宋体" w:hAnsi="宋体" w:cs="宋体"/>
                <w:color w:val="auto"/>
                <w:kern w:val="0"/>
                <w:sz w:val="24"/>
              </w:rPr>
              <w:t>1-1</w:t>
            </w: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hAnsi="宋体" w:cs="宋体"/>
                <w:color w:val="auto"/>
                <w:kern w:val="0"/>
                <w:sz w:val="24"/>
              </w:rPr>
            </w:pPr>
            <w:r>
              <w:rPr>
                <w:rFonts w:ascii="宋体" w:hAnsi="宋体" w:cs="宋体"/>
                <w:color w:val="auto"/>
                <w:kern w:val="0"/>
                <w:sz w:val="24"/>
              </w:rPr>
              <w:t>1-2</w:t>
            </w: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w:t>
            </w: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1" w:hRule="atLeast"/>
          <w:tblCellSpacing w:w="15" w:type="dxa"/>
        </w:trPr>
        <w:tc>
          <w:tcPr>
            <w:tcW w:w="645" w:type="dxa"/>
            <w:vMerge w:val="continue"/>
            <w:vAlign w:val="center"/>
          </w:tcPr>
          <w:p>
            <w:pPr>
              <w:widowControl/>
              <w:jc w:val="left"/>
              <w:rPr>
                <w:rFonts w:ascii="宋体" w:cs="宋体"/>
                <w:color w:val="auto"/>
                <w:kern w:val="0"/>
                <w:sz w:val="24"/>
              </w:rPr>
            </w:pPr>
          </w:p>
        </w:tc>
        <w:tc>
          <w:tcPr>
            <w:tcW w:w="1068" w:type="dxa"/>
            <w:tcMar>
              <w:top w:w="0" w:type="dxa"/>
              <w:left w:w="105" w:type="dxa"/>
              <w:bottom w:w="0" w:type="dxa"/>
              <w:right w:w="105" w:type="dxa"/>
            </w:tcMar>
            <w:vAlign w:val="center"/>
          </w:tcPr>
          <w:p>
            <w:pPr>
              <w:widowControl/>
              <w:jc w:val="center"/>
              <w:rPr>
                <w:rFonts w:ascii="宋体" w:cs="宋体"/>
                <w:color w:val="auto"/>
                <w:kern w:val="0"/>
                <w:sz w:val="24"/>
              </w:rPr>
            </w:pPr>
          </w:p>
        </w:tc>
        <w:tc>
          <w:tcPr>
            <w:tcW w:w="3407" w:type="dxa"/>
            <w:tcMar>
              <w:top w:w="0" w:type="dxa"/>
              <w:left w:w="105" w:type="dxa"/>
              <w:bottom w:w="0" w:type="dxa"/>
              <w:right w:w="105" w:type="dxa"/>
            </w:tcMar>
          </w:tcPr>
          <w:p>
            <w:pPr>
              <w:widowControl/>
              <w:jc w:val="left"/>
              <w:rPr>
                <w:rFonts w:ascii="宋体" w:cs="宋体"/>
                <w:color w:val="auto"/>
                <w:kern w:val="0"/>
                <w:sz w:val="24"/>
              </w:rPr>
            </w:pPr>
          </w:p>
        </w:tc>
        <w:tc>
          <w:tcPr>
            <w:tcW w:w="2970" w:type="dxa"/>
            <w:tcMar>
              <w:top w:w="0" w:type="dxa"/>
              <w:left w:w="105" w:type="dxa"/>
              <w:bottom w:w="0" w:type="dxa"/>
              <w:right w:w="105" w:type="dxa"/>
            </w:tcMar>
          </w:tcPr>
          <w:p>
            <w:pPr>
              <w:widowControl/>
              <w:jc w:val="left"/>
              <w:rPr>
                <w:rFonts w:ascii="宋体" w:cs="宋体"/>
                <w:color w:val="auto"/>
                <w:kern w:val="0"/>
                <w:sz w:val="24"/>
              </w:rPr>
            </w:pPr>
          </w:p>
        </w:tc>
        <w:tc>
          <w:tcPr>
            <w:tcW w:w="1073" w:type="dxa"/>
            <w:tcMar>
              <w:top w:w="0" w:type="dxa"/>
              <w:left w:w="105" w:type="dxa"/>
              <w:bottom w:w="0" w:type="dxa"/>
              <w:right w:w="105" w:type="dxa"/>
            </w:tcMar>
          </w:tcPr>
          <w:p>
            <w:pPr>
              <w:widowControl/>
              <w:jc w:val="left"/>
              <w:rPr>
                <w:rFonts w:asci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3" w:hRule="atLeast"/>
          <w:tblCellSpacing w:w="15" w:type="dxa"/>
        </w:trPr>
        <w:tc>
          <w:tcPr>
            <w:tcW w:w="645" w:type="dxa"/>
            <w:tcMar>
              <w:top w:w="0" w:type="dxa"/>
              <w:left w:w="105" w:type="dxa"/>
              <w:bottom w:w="0" w:type="dxa"/>
              <w:right w:w="105" w:type="dxa"/>
            </w:tcMar>
            <w:vAlign w:val="center"/>
          </w:tcPr>
          <w:p>
            <w:pPr>
              <w:widowControl/>
              <w:jc w:val="center"/>
              <w:rPr>
                <w:rFonts w:ascii="宋体" w:cs="宋体"/>
                <w:color w:val="auto"/>
                <w:kern w:val="0"/>
                <w:sz w:val="24"/>
              </w:rPr>
            </w:pPr>
            <w:r>
              <w:rPr>
                <w:rFonts w:hint="eastAsia" w:ascii="宋体" w:hAnsi="宋体" w:cs="宋体"/>
                <w:color w:val="auto"/>
                <w:kern w:val="0"/>
                <w:sz w:val="24"/>
              </w:rPr>
              <w:t>…</w:t>
            </w:r>
          </w:p>
        </w:tc>
        <w:tc>
          <w:tcPr>
            <w:tcW w:w="1068" w:type="dxa"/>
            <w:tcMar>
              <w:top w:w="0" w:type="dxa"/>
              <w:left w:w="105" w:type="dxa"/>
              <w:bottom w:w="0" w:type="dxa"/>
              <w:right w:w="105" w:type="dxa"/>
            </w:tcMar>
            <w:vAlign w:val="center"/>
          </w:tcPr>
          <w:p>
            <w:pPr>
              <w:widowControl/>
              <w:jc w:val="left"/>
              <w:rPr>
                <w:rFonts w:ascii="宋体" w:cs="宋体"/>
                <w:color w:val="auto"/>
                <w:kern w:val="0"/>
                <w:sz w:val="24"/>
              </w:rPr>
            </w:pPr>
          </w:p>
        </w:tc>
        <w:tc>
          <w:tcPr>
            <w:tcW w:w="3407" w:type="dxa"/>
            <w:tcMar>
              <w:top w:w="0" w:type="dxa"/>
              <w:left w:w="105" w:type="dxa"/>
              <w:bottom w:w="0" w:type="dxa"/>
              <w:right w:w="105" w:type="dxa"/>
            </w:tcMar>
            <w:vAlign w:val="center"/>
          </w:tcPr>
          <w:p>
            <w:pPr>
              <w:widowControl/>
              <w:jc w:val="left"/>
              <w:rPr>
                <w:rFonts w:ascii="宋体" w:cs="宋体"/>
                <w:color w:val="auto"/>
                <w:kern w:val="0"/>
                <w:sz w:val="24"/>
              </w:rPr>
            </w:pPr>
          </w:p>
        </w:tc>
        <w:tc>
          <w:tcPr>
            <w:tcW w:w="2970" w:type="dxa"/>
            <w:tcMar>
              <w:top w:w="0" w:type="dxa"/>
              <w:left w:w="105" w:type="dxa"/>
              <w:bottom w:w="0" w:type="dxa"/>
              <w:right w:w="105" w:type="dxa"/>
            </w:tcMar>
            <w:vAlign w:val="center"/>
          </w:tcPr>
          <w:p>
            <w:pPr>
              <w:widowControl/>
              <w:jc w:val="left"/>
              <w:rPr>
                <w:rFonts w:ascii="宋体" w:cs="宋体"/>
                <w:color w:val="auto"/>
                <w:kern w:val="0"/>
                <w:sz w:val="24"/>
              </w:rPr>
            </w:pPr>
          </w:p>
        </w:tc>
        <w:tc>
          <w:tcPr>
            <w:tcW w:w="1073" w:type="dxa"/>
            <w:tcMar>
              <w:top w:w="0" w:type="dxa"/>
              <w:left w:w="105" w:type="dxa"/>
              <w:bottom w:w="0" w:type="dxa"/>
              <w:right w:w="105" w:type="dxa"/>
            </w:tcMar>
            <w:vAlign w:val="center"/>
          </w:tcPr>
          <w:p>
            <w:pPr>
              <w:widowControl/>
              <w:jc w:val="left"/>
              <w:rPr>
                <w:rFonts w:ascii="宋体" w:cs="宋体"/>
                <w:color w:val="auto"/>
                <w:kern w:val="0"/>
                <w:sz w:val="24"/>
              </w:rPr>
            </w:pPr>
          </w:p>
        </w:tc>
      </w:tr>
    </w:tbl>
    <w:p>
      <w:pPr>
        <w:widowControl/>
        <w:spacing w:before="75" w:after="75"/>
        <w:jc w:val="left"/>
        <w:rPr>
          <w:rFonts w:ascii="宋体" w:cs="宋体"/>
          <w:color w:val="auto"/>
          <w:kern w:val="0"/>
          <w:sz w:val="24"/>
        </w:rPr>
      </w:pPr>
      <w:r>
        <w:rPr>
          <w:rFonts w:hint="eastAsia" w:ascii="宋体" w:hAnsi="宋体" w:cs="宋体"/>
          <w:color w:val="auto"/>
          <w:kern w:val="0"/>
          <w:sz w:val="24"/>
        </w:rPr>
        <w:t>注意：</w:t>
      </w:r>
    </w:p>
    <w:p>
      <w:pPr>
        <w:widowControl/>
        <w:spacing w:before="75" w:after="75"/>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、本表应按照下列规定填写：</w:t>
      </w:r>
    </w:p>
    <w:p>
      <w:pPr>
        <w:widowControl/>
        <w:spacing w:before="75" w:after="75"/>
        <w:jc w:val="left"/>
        <w:rPr>
          <w:rFonts w:ascii="宋体" w:cs="宋体"/>
          <w:color w:val="auto"/>
          <w:kern w:val="0"/>
          <w:sz w:val="24"/>
        </w:rPr>
      </w:pPr>
      <w:r>
        <w:rPr>
          <w:rFonts w:ascii="宋体" w:hAnsi="宋体" w:cs="宋体"/>
          <w:color w:val="auto"/>
          <w:kern w:val="0"/>
          <w:sz w:val="24"/>
        </w:rPr>
        <w:t>1.1</w:t>
      </w:r>
      <w:r>
        <w:rPr>
          <w:rFonts w:hint="eastAsia" w:ascii="宋体" w:hAnsi="宋体" w:cs="宋体"/>
          <w:color w:val="auto"/>
          <w:kern w:val="0"/>
          <w:sz w:val="24"/>
        </w:rPr>
        <w:t>“商务条件”项下填写的内容应与招标文件第五章“商务条件”的内容保持一致。</w:t>
      </w:r>
    </w:p>
    <w:p>
      <w:pPr>
        <w:widowControl/>
        <w:spacing w:before="75" w:after="75"/>
        <w:jc w:val="left"/>
        <w:rPr>
          <w:rFonts w:ascii="宋体" w:cs="宋体"/>
          <w:color w:val="auto"/>
          <w:kern w:val="0"/>
          <w:sz w:val="24"/>
        </w:rPr>
      </w:pPr>
      <w:r>
        <w:rPr>
          <w:rFonts w:ascii="宋体" w:hAnsi="宋体" w:cs="宋体"/>
          <w:color w:val="auto"/>
          <w:kern w:val="0"/>
          <w:sz w:val="24"/>
        </w:rPr>
        <w:t>1.2</w:t>
      </w:r>
      <w:r>
        <w:rPr>
          <w:rFonts w:hint="eastAsia" w:ascii="宋体" w:hAnsi="宋体" w:cs="宋体"/>
          <w:color w:val="auto"/>
          <w:kern w:val="0"/>
          <w:sz w:val="24"/>
        </w:rPr>
        <w:t>“投标响应”项下应填写具体的响应内容并与“商务条件”项下填写的内容逐项对应；对“商务条件”项下涉及“≥或＞”、“≤或＜”及某个区间值范围内的内容，应填写具体的数值。</w:t>
      </w:r>
    </w:p>
    <w:p>
      <w:pPr>
        <w:widowControl/>
        <w:spacing w:before="75" w:after="75"/>
        <w:jc w:val="left"/>
        <w:rPr>
          <w:rFonts w:ascii="宋体" w:cs="宋体"/>
          <w:color w:val="auto"/>
          <w:kern w:val="0"/>
          <w:sz w:val="24"/>
        </w:rPr>
      </w:pPr>
      <w:r>
        <w:rPr>
          <w:rFonts w:ascii="宋体" w:hAnsi="宋体" w:cs="宋体"/>
          <w:color w:val="auto"/>
          <w:kern w:val="0"/>
          <w:sz w:val="24"/>
        </w:rPr>
        <w:t>1.3</w:t>
      </w:r>
      <w:r>
        <w:rPr>
          <w:rFonts w:hint="eastAsia" w:ascii="宋体" w:hAnsi="宋体" w:cs="宋体"/>
          <w:color w:val="auto"/>
          <w:kern w:val="0"/>
          <w:sz w:val="24"/>
        </w:rPr>
        <w:t>“是否偏离及说明”项下应按下列规定填写：优于的，填写“正偏离”；符合的，填写“无偏离”；低于的，填写“负偏离”。</w:t>
      </w:r>
    </w:p>
    <w:p>
      <w:pPr>
        <w:widowControl/>
        <w:spacing w:before="75" w:after="75"/>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、投标人需要说明的内容若需特殊表达，应先在本表中进行相应说明，再另页应答，否则</w:t>
      </w:r>
      <w:r>
        <w:rPr>
          <w:rFonts w:hint="eastAsia" w:ascii="宋体" w:hAnsi="宋体" w:cs="宋体"/>
          <w:b/>
          <w:bCs/>
          <w:color w:val="auto"/>
          <w:kern w:val="0"/>
          <w:sz w:val="24"/>
        </w:rPr>
        <w:t>投标无效</w:t>
      </w:r>
      <w:r>
        <w:rPr>
          <w:rFonts w:hint="eastAsia" w:ascii="宋体" w:hAnsi="宋体" w:cs="宋体"/>
          <w:color w:val="auto"/>
          <w:kern w:val="0"/>
          <w:sz w:val="24"/>
        </w:rPr>
        <w:t>。</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w:t>
      </w:r>
      <w:r>
        <w:rPr>
          <w:rFonts w:ascii="宋体" w:hAnsi="宋体" w:cs="宋体"/>
          <w:color w:val="auto"/>
          <w:kern w:val="0"/>
          <w:sz w:val="24"/>
          <w:u w:val="single"/>
        </w:rPr>
        <w:t>（全称并加盖单位公章）</w:t>
      </w:r>
    </w:p>
    <w:p>
      <w:pPr>
        <w:widowControl/>
        <w:spacing w:before="75" w:after="75" w:line="276" w:lineRule="auto"/>
        <w:jc w:val="left"/>
        <w:rPr>
          <w:rFonts w:ascii="宋体" w:hAnsi="宋体" w:cs="宋体"/>
          <w:color w:val="auto"/>
          <w:kern w:val="0"/>
          <w:sz w:val="24"/>
        </w:rPr>
      </w:pPr>
      <w:r>
        <w:rPr>
          <w:rFonts w:ascii="宋体" w:hAnsi="宋体" w:cs="宋体"/>
          <w:color w:val="auto"/>
          <w:kern w:val="0"/>
          <w:sz w:val="24"/>
        </w:rPr>
        <w:t>投标人代表签字：</w:t>
      </w:r>
      <w:r>
        <w:rPr>
          <w:rFonts w:ascii="宋体" w:hAnsi="宋体" w:cs="宋体"/>
          <w:color w:val="auto"/>
          <w:kern w:val="0"/>
          <w:sz w:val="24"/>
          <w:u w:val="single"/>
        </w:rPr>
        <w:t>         </w:t>
      </w:r>
    </w:p>
    <w:p>
      <w:pPr>
        <w:widowControl/>
        <w:spacing w:before="75" w:after="75" w:line="276" w:lineRule="auto"/>
        <w:jc w:val="left"/>
        <w:rPr>
          <w:rFonts w:hint="eastAsia" w:ascii="宋体" w:hAnsi="宋体" w:cs="宋体"/>
          <w:color w:val="auto"/>
          <w:kern w:val="0"/>
          <w:sz w:val="24"/>
        </w:rPr>
      </w:pPr>
      <w:r>
        <w:rPr>
          <w:rFonts w:ascii="宋体" w:hAnsi="宋体" w:cs="宋体"/>
          <w:color w:val="auto"/>
          <w:kern w:val="0"/>
          <w:sz w:val="24"/>
        </w:rPr>
        <w:t>日期：</w:t>
      </w:r>
      <w:r>
        <w:rPr>
          <w:rFonts w:ascii="宋体" w:hAnsi="宋体" w:cs="宋体"/>
          <w:color w:val="auto"/>
          <w:kern w:val="0"/>
          <w:sz w:val="24"/>
          <w:u w:val="single"/>
        </w:rPr>
        <w:t>    </w:t>
      </w:r>
      <w:r>
        <w:rPr>
          <w:rFonts w:ascii="宋体" w:hAnsi="宋体" w:cs="宋体"/>
          <w:color w:val="auto"/>
          <w:kern w:val="0"/>
          <w:sz w:val="24"/>
        </w:rPr>
        <w:t>年</w:t>
      </w:r>
      <w:r>
        <w:rPr>
          <w:rFonts w:ascii="宋体" w:hAnsi="宋体" w:cs="宋体"/>
          <w:color w:val="auto"/>
          <w:kern w:val="0"/>
          <w:sz w:val="24"/>
          <w:u w:val="single"/>
        </w:rPr>
        <w:t>   </w:t>
      </w:r>
      <w:r>
        <w:rPr>
          <w:rFonts w:ascii="宋体" w:hAnsi="宋体" w:cs="宋体"/>
          <w:color w:val="auto"/>
          <w:kern w:val="0"/>
          <w:sz w:val="24"/>
        </w:rPr>
        <w:t>月</w:t>
      </w:r>
      <w:r>
        <w:rPr>
          <w:rFonts w:ascii="宋体" w:hAnsi="宋体" w:cs="宋体"/>
          <w:color w:val="auto"/>
          <w:kern w:val="0"/>
          <w:sz w:val="24"/>
          <w:u w:val="single"/>
        </w:rPr>
        <w:t>   </w:t>
      </w:r>
      <w:r>
        <w:rPr>
          <w:rFonts w:ascii="宋体" w:hAnsi="宋体" w:cs="宋体"/>
          <w:color w:val="auto"/>
          <w:kern w:val="0"/>
          <w:sz w:val="24"/>
        </w:rPr>
        <w:t>日</w:t>
      </w:r>
    </w:p>
    <w:p>
      <w:pPr>
        <w:widowControl/>
        <w:spacing w:before="75" w:after="75"/>
        <w:jc w:val="center"/>
        <w:rPr>
          <w:rFonts w:ascii="宋体" w:cs="宋体"/>
          <w:color w:val="auto"/>
          <w:kern w:val="0"/>
          <w:sz w:val="24"/>
        </w:rPr>
      </w:pPr>
      <w:r>
        <w:rPr>
          <w:rFonts w:ascii="宋体" w:cs="宋体"/>
          <w:color w:val="auto"/>
          <w:kern w:val="0"/>
          <w:sz w:val="24"/>
        </w:rPr>
        <w:br w:type="textWrapping"/>
      </w: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p>
    <w:p>
      <w:pPr>
        <w:pStyle w:val="7"/>
      </w:pPr>
    </w:p>
    <w:p>
      <w:pPr>
        <w:widowControl/>
        <w:spacing w:before="75" w:after="75"/>
        <w:jc w:val="center"/>
        <w:rPr>
          <w:rFonts w:ascii="宋体" w:cs="宋体"/>
          <w:color w:val="auto"/>
          <w:kern w:val="0"/>
          <w:sz w:val="24"/>
        </w:rPr>
      </w:pPr>
    </w:p>
    <w:p>
      <w:pPr>
        <w:widowControl/>
        <w:spacing w:before="75" w:after="75"/>
        <w:jc w:val="center"/>
        <w:rPr>
          <w:rFonts w:ascii="宋体" w:cs="宋体"/>
          <w:color w:val="auto"/>
          <w:kern w:val="0"/>
          <w:sz w:val="24"/>
        </w:rPr>
      </w:pPr>
      <w:r>
        <w:rPr>
          <w:rFonts w:hint="eastAsia" w:ascii="宋体" w:hAnsi="宋体" w:cs="宋体"/>
          <w:b/>
          <w:bCs/>
          <w:color w:val="auto"/>
          <w:kern w:val="0"/>
          <w:sz w:val="24"/>
          <w:lang w:eastAsia="zh-CN"/>
        </w:rPr>
        <w:t>四</w:t>
      </w:r>
      <w:r>
        <w:rPr>
          <w:rFonts w:hint="eastAsia" w:ascii="宋体" w:hAnsi="宋体" w:cs="宋体"/>
          <w:b/>
          <w:bCs/>
          <w:color w:val="auto"/>
          <w:kern w:val="0"/>
          <w:sz w:val="24"/>
        </w:rPr>
        <w:t>、投标人提交的其他资料（若有）</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center"/>
        <w:rPr>
          <w:rFonts w:ascii="宋体" w:cs="宋体"/>
          <w:color w:val="auto"/>
          <w:kern w:val="0"/>
          <w:sz w:val="24"/>
        </w:rPr>
      </w:pPr>
      <w:r>
        <w:rPr>
          <w:rFonts w:hint="eastAsia" w:ascii="宋体" w:hAnsi="宋体" w:cs="宋体"/>
          <w:color w:val="auto"/>
          <w:kern w:val="0"/>
          <w:sz w:val="24"/>
        </w:rPr>
        <w:t>编制说明</w:t>
      </w:r>
    </w:p>
    <w:p>
      <w:pPr>
        <w:widowControl/>
        <w:spacing w:before="75" w:after="75"/>
        <w:jc w:val="left"/>
        <w:rPr>
          <w:rFonts w:ascii="宋体" w:cs="宋体"/>
          <w:color w:val="auto"/>
          <w:kern w:val="0"/>
          <w:sz w:val="24"/>
        </w:rPr>
      </w:pPr>
      <w:r>
        <w:rPr>
          <w:rFonts w:ascii="宋体" w:cs="宋体"/>
          <w:color w:val="auto"/>
          <w:kern w:val="0"/>
          <w:sz w:val="24"/>
        </w:rPr>
        <w:t> </w:t>
      </w:r>
    </w:p>
    <w:p>
      <w:pPr>
        <w:widowControl/>
        <w:spacing w:before="75" w:after="75"/>
        <w:jc w:val="left"/>
        <w:rPr>
          <w:rFonts w:asci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、招标文件要求提交的除</w:t>
      </w:r>
      <w:r>
        <w:rPr>
          <w:rFonts w:hint="eastAsia" w:ascii="宋体" w:hAnsi="宋体" w:cs="宋体"/>
          <w:b/>
          <w:bCs/>
          <w:color w:val="auto"/>
          <w:kern w:val="0"/>
          <w:sz w:val="24"/>
        </w:rPr>
        <w:t>“资格及资信证明部分”、“报价部分”</w:t>
      </w:r>
      <w:r>
        <w:rPr>
          <w:rFonts w:hint="eastAsia" w:ascii="宋体" w:hAnsi="宋体" w:cs="宋体"/>
          <w:color w:val="auto"/>
          <w:kern w:val="0"/>
          <w:sz w:val="24"/>
        </w:rPr>
        <w:t>外的其他证明材料或资料加盖投标人的单位公章后应在此项下提交。</w:t>
      </w:r>
    </w:p>
    <w:p>
      <w:pPr>
        <w:widowControl/>
        <w:spacing w:before="75" w:after="75"/>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、招标文件要求投标人提供方案（包括但不限于：组织、实施、技术、服务方案等）的，投标人应在此项下提交。</w:t>
      </w:r>
    </w:p>
    <w:p>
      <w:pPr>
        <w:widowControl/>
        <w:spacing w:before="75" w:after="75"/>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、除招标文件另有规定外，投标人认为需要提交的其他证明材料或资料加盖投标人的单位公章后应在此项下提交。</w:t>
      </w:r>
    </w:p>
    <w:p>
      <w:pPr>
        <w:widowControl/>
        <w:spacing w:before="75" w:after="75"/>
        <w:jc w:val="left"/>
        <w:rPr>
          <w:rFonts w:ascii="宋体" w:cs="宋体"/>
          <w:color w:val="auto"/>
          <w:kern w:val="0"/>
          <w:sz w:val="24"/>
        </w:rPr>
      </w:pPr>
      <w:r>
        <w:rPr>
          <w:rFonts w:ascii="宋体" w:cs="宋体"/>
          <w:color w:val="auto"/>
          <w:kern w:val="0"/>
          <w:szCs w:val="21"/>
        </w:rPr>
        <w:t> </w:t>
      </w:r>
    </w:p>
    <w:p>
      <w:pPr>
        <w:widowControl/>
        <w:spacing w:before="75" w:after="75"/>
        <w:jc w:val="left"/>
        <w:rPr>
          <w:rFonts w:ascii="宋体" w:cs="宋体"/>
          <w:color w:val="auto"/>
          <w:kern w:val="0"/>
          <w:sz w:val="24"/>
        </w:rPr>
      </w:pPr>
      <w:r>
        <w:rPr>
          <w:rFonts w:ascii="宋体" w:cs="宋体"/>
          <w:color w:val="auto"/>
          <w:kern w:val="0"/>
          <w:szCs w:val="21"/>
        </w:rPr>
        <w:t> </w:t>
      </w:r>
    </w:p>
    <w:p>
      <w:pPr>
        <w:rPr>
          <w:rFonts w:ascii="宋体" w:cs="宋体"/>
          <w:color w:val="auto"/>
        </w:rPr>
      </w:pPr>
    </w:p>
    <w:p>
      <w:pPr>
        <w:pStyle w:val="7"/>
        <w:snapToGrid w:val="0"/>
        <w:spacing w:line="360" w:lineRule="auto"/>
        <w:ind w:firstLine="0"/>
        <w:jc w:val="center"/>
        <w:rPr>
          <w:rFonts w:ascii="宋体" w:cs="宋体"/>
          <w:color w:val="auto"/>
        </w:rPr>
      </w:pPr>
      <w:bookmarkStart w:id="2" w:name="_Toc282069291"/>
      <w:bookmarkStart w:id="3" w:name="_Toc281983332"/>
      <w:bookmarkStart w:id="4" w:name="_Toc280783252"/>
      <w:bookmarkStart w:id="5" w:name="_Toc281993712"/>
      <w:bookmarkStart w:id="6" w:name="_Toc394259015"/>
    </w:p>
    <w:p>
      <w:pPr>
        <w:pStyle w:val="37"/>
        <w:spacing w:line="360" w:lineRule="auto"/>
        <w:ind w:left="180"/>
        <w:jc w:val="center"/>
        <w:outlineLvl w:val="0"/>
        <w:rPr>
          <w:rFonts w:hAnsi="宋体" w:cs="宋体"/>
          <w:b/>
          <w:color w:val="auto"/>
          <w:sz w:val="32"/>
          <w:szCs w:val="32"/>
        </w:rPr>
      </w:pPr>
      <w:bookmarkStart w:id="7" w:name="_Toc394259016"/>
      <w:bookmarkStart w:id="8" w:name="_Toc309199156"/>
      <w:bookmarkStart w:id="9" w:name="_Toc303755020"/>
      <w:bookmarkStart w:id="10" w:name="_Toc308675459"/>
      <w:bookmarkStart w:id="11" w:name="_Toc308607164"/>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ind w:left="180"/>
        <w:jc w:val="center"/>
        <w:outlineLvl w:val="0"/>
        <w:rPr>
          <w:rFonts w:hAnsi="宋体" w:cs="宋体"/>
          <w:b/>
          <w:color w:val="auto"/>
          <w:sz w:val="32"/>
          <w:szCs w:val="32"/>
        </w:rPr>
      </w:pPr>
    </w:p>
    <w:p>
      <w:pPr>
        <w:pStyle w:val="37"/>
        <w:spacing w:line="360" w:lineRule="auto"/>
        <w:jc w:val="both"/>
        <w:outlineLvl w:val="0"/>
        <w:rPr>
          <w:rFonts w:hAnsi="宋体" w:cs="宋体"/>
          <w:b/>
          <w:color w:val="auto"/>
          <w:sz w:val="32"/>
          <w:szCs w:val="32"/>
        </w:rPr>
      </w:pPr>
    </w:p>
    <w:bookmarkEnd w:id="7"/>
    <w:bookmarkEnd w:id="8"/>
    <w:bookmarkEnd w:id="9"/>
    <w:bookmarkEnd w:id="10"/>
    <w:bookmarkEnd w:id="11"/>
    <w:p>
      <w:pPr>
        <w:spacing w:line="360" w:lineRule="auto"/>
        <w:jc w:val="center"/>
        <w:rPr>
          <w:rFonts w:ascii="宋体" w:cs="宋体"/>
          <w:color w:val="auto"/>
        </w:rPr>
      </w:pPr>
      <w:bookmarkStart w:id="12" w:name="附件1：招标文件领取确认函"/>
      <w:bookmarkEnd w:id="12"/>
      <w:bookmarkStart w:id="13" w:name="_Toc369531039"/>
      <w:bookmarkStart w:id="14" w:name="_Toc394259020"/>
      <w:bookmarkStart w:id="15" w:name="_Toc372803593"/>
      <w:r>
        <w:rPr>
          <w:rFonts w:ascii="宋体" w:hAnsi="宋体" w:cs="宋体"/>
          <w:b/>
          <w:color w:val="auto"/>
          <w:sz w:val="24"/>
        </w:rPr>
        <w:t xml:space="preserve">   </w:t>
      </w:r>
      <w:bookmarkEnd w:id="13"/>
      <w:bookmarkEnd w:id="14"/>
      <w:bookmarkEnd w:id="15"/>
      <w:bookmarkStart w:id="16" w:name="_Toc332378755"/>
      <w:bookmarkStart w:id="17" w:name="_Toc394259021"/>
      <w:bookmarkStart w:id="18" w:name="_Toc303755023"/>
      <w:bookmarkStart w:id="19" w:name="_Toc308607167"/>
      <w:bookmarkStart w:id="20" w:name="_Toc308675462"/>
      <w:bookmarkStart w:id="21" w:name="_Toc309199159"/>
      <w:bookmarkStart w:id="22" w:name="附件2"/>
      <w:r>
        <w:rPr>
          <w:rFonts w:hint="eastAsia" w:ascii="宋体" w:hAnsi="宋体" w:cs="宋体"/>
          <w:b/>
          <w:color w:val="auto"/>
          <w:sz w:val="24"/>
        </w:rPr>
        <w:t>投标文件标准装订范本</w:t>
      </w:r>
      <w:bookmarkEnd w:id="16"/>
      <w:bookmarkEnd w:id="17"/>
      <w:bookmarkEnd w:id="18"/>
      <w:bookmarkEnd w:id="19"/>
      <w:bookmarkEnd w:id="20"/>
      <w:bookmarkEnd w:id="21"/>
      <w:bookmarkEnd w:id="22"/>
    </w:p>
    <w:p>
      <w:pPr>
        <w:spacing w:line="360" w:lineRule="auto"/>
        <w:jc w:val="left"/>
        <w:rPr>
          <w:rFonts w:ascii="宋体" w:cs="宋体"/>
          <w:color w:val="auto"/>
        </w:rPr>
      </w:pPr>
    </w:p>
    <w:p>
      <w:pPr>
        <w:spacing w:line="360" w:lineRule="auto"/>
        <w:jc w:val="left"/>
        <w:rPr>
          <w:rFonts w:ascii="宋体" w:cs="宋体"/>
          <w:color w:val="auto"/>
        </w:rPr>
      </w:pPr>
      <w:r>
        <w:rPr>
          <w:rFonts w:hint="eastAsia" w:ascii="宋体" w:cs="宋体"/>
          <w:color w:val="auto"/>
        </w:rPr>
        <w:drawing>
          <wp:inline distT="0" distB="0" distL="114300" distR="114300">
            <wp:extent cx="5257800" cy="6029325"/>
            <wp:effectExtent l="0" t="0" r="0" b="9525"/>
            <wp:docPr id="1" name="图片 4" descr="QQ图片2017011808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QQ图片20170118082935"/>
                    <pic:cNvPicPr>
                      <a:picLocks noChangeAspect="1"/>
                    </pic:cNvPicPr>
                  </pic:nvPicPr>
                  <pic:blipFill>
                    <a:blip r:embed="rId6"/>
                    <a:stretch>
                      <a:fillRect/>
                    </a:stretch>
                  </pic:blipFill>
                  <pic:spPr>
                    <a:xfrm>
                      <a:off x="0" y="0"/>
                      <a:ext cx="5257800" cy="6029325"/>
                    </a:xfrm>
                    <a:prstGeom prst="rect">
                      <a:avLst/>
                    </a:prstGeom>
                    <a:noFill/>
                    <a:ln>
                      <a:noFill/>
                    </a:ln>
                  </pic:spPr>
                </pic:pic>
              </a:graphicData>
            </a:graphic>
          </wp:inline>
        </w:drawing>
      </w:r>
    </w:p>
    <w:bookmarkEnd w:id="2"/>
    <w:bookmarkEnd w:id="3"/>
    <w:bookmarkEnd w:id="4"/>
    <w:bookmarkEnd w:id="5"/>
    <w:bookmarkEnd w:id="6"/>
    <w:p>
      <w:pPr>
        <w:pStyle w:val="7"/>
        <w:snapToGrid w:val="0"/>
        <w:spacing w:line="360" w:lineRule="auto"/>
        <w:ind w:firstLine="0"/>
        <w:rPr>
          <w:rFonts w:ascii="宋体" w:cs="宋体"/>
          <w:color w:val="auto"/>
        </w:rPr>
      </w:pPr>
    </w:p>
    <w:p>
      <w:pPr>
        <w:rPr>
          <w:color w:val="auto"/>
        </w:rPr>
      </w:pPr>
    </w:p>
    <w:sectPr>
      <w:headerReference r:id="rId3" w:type="default"/>
      <w:footerReference r:id="rId4" w:type="default"/>
      <w:pgSz w:w="11906" w:h="16838"/>
      <w:pgMar w:top="1440" w:right="1293"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dobe 仿宋 Std R">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tLeast"/>
      <w:jc w:val="center"/>
      <w:rPr>
        <w:rFonts w:ascii="宋体"/>
        <w:sz w:val="21"/>
        <w:szCs w:val="21"/>
      </w:rPr>
    </w:pPr>
    <w:r>
      <w:rPr>
        <w:sz w:val="21"/>
      </w:rPr>
      <w:t xml:space="preserve">  </w:t>
    </w:r>
    <w:r>
      <w:rPr>
        <w:rFonts w:hint="eastAsia" w:ascii="宋体" w:hAnsi="宋体"/>
        <w:kern w:val="0"/>
        <w:sz w:val="21"/>
        <w:szCs w:val="21"/>
      </w:rPr>
      <w:t>第</w:t>
    </w:r>
    <w:r>
      <w:rPr>
        <w:rFonts w:ascii="宋体" w:hAnsi="宋体"/>
        <w:kern w:val="0"/>
        <w:sz w:val="21"/>
        <w:szCs w:val="21"/>
      </w:rPr>
      <w:t xml:space="preserve">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30</w:t>
    </w:r>
    <w:r>
      <w:rPr>
        <w:rFonts w:ascii="宋体" w:hAnsi="宋体"/>
        <w:kern w:val="0"/>
        <w:sz w:val="21"/>
        <w:szCs w:val="21"/>
      </w:rPr>
      <w:fldChar w:fldCharType="end"/>
    </w:r>
    <w:r>
      <w:rPr>
        <w:rFonts w:ascii="宋体" w:hAnsi="宋体"/>
        <w:kern w:val="0"/>
        <w:sz w:val="21"/>
        <w:szCs w:val="21"/>
      </w:rPr>
      <w:t xml:space="preserve"> </w:t>
    </w:r>
    <w:r>
      <w:rPr>
        <w:rFonts w:hint="eastAsia" w:ascii="宋体" w:hAnsi="宋体"/>
        <w:kern w:val="0"/>
        <w:sz w:val="21"/>
        <w:szCs w:val="21"/>
      </w:rPr>
      <w:t>页</w:t>
    </w:r>
    <w:r>
      <w:rPr>
        <w:rFonts w:ascii="宋体" w:hAnsi="宋体"/>
        <w:kern w:val="0"/>
        <w:sz w:val="21"/>
        <w:szCs w:val="21"/>
      </w:rPr>
      <w:t xml:space="preserve"> </w:t>
    </w:r>
    <w:r>
      <w:rPr>
        <w:rFonts w:hint="eastAsia" w:ascii="宋体" w:hAnsi="宋体"/>
        <w:kern w:val="0"/>
        <w:sz w:val="21"/>
        <w:szCs w:val="21"/>
      </w:rPr>
      <w:t>共</w:t>
    </w:r>
    <w:r>
      <w:rPr>
        <w:rFonts w:ascii="宋体" w:hAnsi="宋体"/>
        <w:kern w:val="0"/>
        <w:sz w:val="21"/>
        <w:szCs w:val="21"/>
      </w:rPr>
      <w:t xml:space="preserve"> </w:t>
    </w:r>
    <w:r>
      <w:rPr>
        <w:rFonts w:ascii="宋体" w:hAnsi="宋体"/>
        <w:kern w:val="0"/>
        <w:sz w:val="21"/>
        <w:szCs w:val="21"/>
      </w:rPr>
      <w:fldChar w:fldCharType="begin"/>
    </w:r>
    <w:r>
      <w:rPr>
        <w:rFonts w:ascii="宋体" w:hAnsi="宋体"/>
        <w:kern w:val="0"/>
        <w:sz w:val="21"/>
        <w:szCs w:val="21"/>
      </w:rPr>
      <w:instrText xml:space="preserve"> NUMPAGES </w:instrText>
    </w:r>
    <w:r>
      <w:rPr>
        <w:rFonts w:ascii="宋体" w:hAnsi="宋体"/>
        <w:kern w:val="0"/>
        <w:sz w:val="21"/>
        <w:szCs w:val="21"/>
      </w:rPr>
      <w:fldChar w:fldCharType="separate"/>
    </w:r>
    <w:r>
      <w:rPr>
        <w:rFonts w:ascii="宋体" w:hAnsi="宋体"/>
        <w:kern w:val="0"/>
        <w:sz w:val="21"/>
        <w:szCs w:val="21"/>
      </w:rPr>
      <w:t>62</w:t>
    </w:r>
    <w:r>
      <w:rPr>
        <w:rFonts w:ascii="宋体" w:hAnsi="宋体"/>
        <w:kern w:val="0"/>
        <w:sz w:val="21"/>
        <w:szCs w:val="21"/>
      </w:rPr>
      <w:fldChar w:fldCharType="end"/>
    </w:r>
    <w:r>
      <w:rPr>
        <w:rFonts w:ascii="宋体" w:hAnsi="宋体"/>
        <w:kern w:val="0"/>
        <w:sz w:val="21"/>
        <w:szCs w:val="21"/>
      </w:rPr>
      <w:t xml:space="preserve"> </w:t>
    </w:r>
    <w:r>
      <w:rPr>
        <w:rFonts w:hint="eastAsia" w:ascii="宋体" w:hAnsi="宋体"/>
        <w:kern w:val="0"/>
        <w:sz w:val="21"/>
        <w:szCs w:val="21"/>
      </w:rPr>
      <w:t>页</w: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rPr>
        <w:u w:val="single"/>
      </w:rPr>
    </w:pPr>
    <w:r>
      <w:rPr>
        <w:rFonts w:hint="eastAsia"/>
        <w:u w:val="single"/>
      </w:rPr>
      <w:t>招标文件</w:t>
    </w:r>
    <w:r>
      <w:rPr>
        <w:u w:val="single"/>
      </w:rPr>
      <w:t xml:space="preserve">                                                          </w:t>
    </w:r>
    <w:r>
      <w:rPr>
        <w:rFonts w:hint="eastAsia"/>
        <w:u w:val="single"/>
        <w:lang w:val="en-US" w:eastAsia="zh-CN"/>
      </w:rPr>
      <w:t xml:space="preserve">    </w:t>
    </w:r>
    <w:r>
      <w:rPr>
        <w:u w:val="single"/>
      </w:rPr>
      <w:t xml:space="preserve">      </w:t>
    </w:r>
    <w:r>
      <w:rPr>
        <w:rFonts w:hint="eastAsia"/>
        <w:u w:val="single"/>
      </w:rPr>
      <w:t>莆田市信成造价咨询有限公司</w:t>
    </w:r>
  </w:p>
  <w:p>
    <w:pPr>
      <w:pStyle w:val="12"/>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1653D"/>
    <w:multiLevelType w:val="singleLevel"/>
    <w:tmpl w:val="EA11653D"/>
    <w:lvl w:ilvl="0" w:tentative="0">
      <w:start w:val="1"/>
      <w:numFmt w:val="lowerLetter"/>
      <w:lvlText w:val="%1."/>
      <w:lvlJc w:val="left"/>
      <w:pPr>
        <w:tabs>
          <w:tab w:val="left" w:pos="312"/>
        </w:tabs>
      </w:pPr>
    </w:lvl>
  </w:abstractNum>
  <w:abstractNum w:abstractNumId="1">
    <w:nsid w:val="FB172780"/>
    <w:multiLevelType w:val="singleLevel"/>
    <w:tmpl w:val="FB172780"/>
    <w:lvl w:ilvl="0" w:tentative="0">
      <w:start w:val="1"/>
      <w:numFmt w:val="decimal"/>
      <w:suff w:val="nothing"/>
      <w:lvlText w:val="%1、"/>
      <w:lvlJc w:val="left"/>
      <w:rPr>
        <w:rFonts w:cs="Times New Roman"/>
      </w:rPr>
    </w:lvl>
  </w:abstractNum>
  <w:abstractNum w:abstractNumId="2">
    <w:nsid w:val="00000007"/>
    <w:multiLevelType w:val="multilevel"/>
    <w:tmpl w:val="00000007"/>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A66F37"/>
    <w:multiLevelType w:val="singleLevel"/>
    <w:tmpl w:val="58A66F37"/>
    <w:lvl w:ilvl="0" w:tentative="0">
      <w:start w:val="1"/>
      <w:numFmt w:val="chineseCounting"/>
      <w:suff w:val="space"/>
      <w:lvlText w:val="第%1章"/>
      <w:lvlJc w:val="left"/>
      <w:rPr>
        <w:rFonts w:cs="Times New Roman"/>
      </w:rPr>
    </w:lvl>
  </w:abstractNum>
  <w:abstractNum w:abstractNumId="4">
    <w:nsid w:val="5FB3C512"/>
    <w:multiLevelType w:val="singleLevel"/>
    <w:tmpl w:val="5FB3C512"/>
    <w:lvl w:ilvl="0" w:tentative="0">
      <w:start w:val="1"/>
      <w:numFmt w:val="chineseCounting"/>
      <w:suff w:val="nothing"/>
      <w:lvlText w:val="%1、"/>
      <w:lvlJc w:val="left"/>
      <w:rPr>
        <w:rFonts w:hint="eastAsia"/>
      </w:rPr>
    </w:lvl>
  </w:abstractNum>
  <w:abstractNum w:abstractNumId="5">
    <w:nsid w:val="60EE58D5"/>
    <w:multiLevelType w:val="singleLevel"/>
    <w:tmpl w:val="60EE58D5"/>
    <w:lvl w:ilvl="0" w:tentative="0">
      <w:start w:val="1"/>
      <w:numFmt w:val="decimal"/>
      <w:suff w:val="nothing"/>
      <w:lvlText w:val="%1、"/>
      <w:lvlJc w:val="left"/>
    </w:lvl>
  </w:abstractNum>
  <w:abstractNum w:abstractNumId="6">
    <w:nsid w:val="60EE5A62"/>
    <w:multiLevelType w:val="singleLevel"/>
    <w:tmpl w:val="60EE5A62"/>
    <w:lvl w:ilvl="0" w:tentative="0">
      <w:start w:val="1"/>
      <w:numFmt w:val="decimal"/>
      <w:suff w:val="nothing"/>
      <w:lvlText w:val="%1、"/>
      <w:lvlJc w:val="left"/>
    </w:lvl>
  </w:abstractNum>
  <w:abstractNum w:abstractNumId="7">
    <w:nsid w:val="7FF200D5"/>
    <w:multiLevelType w:val="multilevel"/>
    <w:tmpl w:val="7FF200D5"/>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1555C"/>
    <w:rsid w:val="00066A50"/>
    <w:rsid w:val="000F53E6"/>
    <w:rsid w:val="0023570D"/>
    <w:rsid w:val="00305495"/>
    <w:rsid w:val="00316529"/>
    <w:rsid w:val="004251FE"/>
    <w:rsid w:val="004D5DD0"/>
    <w:rsid w:val="00505ECA"/>
    <w:rsid w:val="006A78DF"/>
    <w:rsid w:val="006B7827"/>
    <w:rsid w:val="00BF6F97"/>
    <w:rsid w:val="00D31682"/>
    <w:rsid w:val="00D32E76"/>
    <w:rsid w:val="00DD608C"/>
    <w:rsid w:val="00EA07C5"/>
    <w:rsid w:val="00F10478"/>
    <w:rsid w:val="015646F9"/>
    <w:rsid w:val="017C06A2"/>
    <w:rsid w:val="01A40F72"/>
    <w:rsid w:val="01A46BA8"/>
    <w:rsid w:val="01BC6A1B"/>
    <w:rsid w:val="01C66798"/>
    <w:rsid w:val="01F03A67"/>
    <w:rsid w:val="01F56EA8"/>
    <w:rsid w:val="020314FA"/>
    <w:rsid w:val="0270198F"/>
    <w:rsid w:val="02B021CF"/>
    <w:rsid w:val="02BD31F5"/>
    <w:rsid w:val="030218BE"/>
    <w:rsid w:val="03AA1026"/>
    <w:rsid w:val="03FB1010"/>
    <w:rsid w:val="040840CC"/>
    <w:rsid w:val="044A3E12"/>
    <w:rsid w:val="046C74B7"/>
    <w:rsid w:val="052951D6"/>
    <w:rsid w:val="06697BA7"/>
    <w:rsid w:val="06DB232F"/>
    <w:rsid w:val="0741237C"/>
    <w:rsid w:val="078A2CCA"/>
    <w:rsid w:val="078C72B4"/>
    <w:rsid w:val="07A4713D"/>
    <w:rsid w:val="07DB043D"/>
    <w:rsid w:val="07FC7A63"/>
    <w:rsid w:val="081A7370"/>
    <w:rsid w:val="08763AE4"/>
    <w:rsid w:val="090B71CC"/>
    <w:rsid w:val="094F1A33"/>
    <w:rsid w:val="09545033"/>
    <w:rsid w:val="09593C20"/>
    <w:rsid w:val="09925002"/>
    <w:rsid w:val="0A4F7BC4"/>
    <w:rsid w:val="0A667E2F"/>
    <w:rsid w:val="0A90570A"/>
    <w:rsid w:val="0ABE6348"/>
    <w:rsid w:val="0B4579CE"/>
    <w:rsid w:val="0B636B9C"/>
    <w:rsid w:val="0B7677A0"/>
    <w:rsid w:val="0B7953DE"/>
    <w:rsid w:val="0C374833"/>
    <w:rsid w:val="0C452D65"/>
    <w:rsid w:val="0D31635B"/>
    <w:rsid w:val="0D710189"/>
    <w:rsid w:val="0D7F46CC"/>
    <w:rsid w:val="0DCF32B2"/>
    <w:rsid w:val="0DED0A87"/>
    <w:rsid w:val="0DFB1B7B"/>
    <w:rsid w:val="0E01660B"/>
    <w:rsid w:val="0E354874"/>
    <w:rsid w:val="0E6E1859"/>
    <w:rsid w:val="0E717D66"/>
    <w:rsid w:val="0EBA241E"/>
    <w:rsid w:val="0EF93E43"/>
    <w:rsid w:val="0F384508"/>
    <w:rsid w:val="0F866D3D"/>
    <w:rsid w:val="10013A5D"/>
    <w:rsid w:val="102D549A"/>
    <w:rsid w:val="10FB07E7"/>
    <w:rsid w:val="110668A6"/>
    <w:rsid w:val="111F2660"/>
    <w:rsid w:val="11316B0E"/>
    <w:rsid w:val="114F04AB"/>
    <w:rsid w:val="11773F6B"/>
    <w:rsid w:val="118304F7"/>
    <w:rsid w:val="118A1752"/>
    <w:rsid w:val="11AC494C"/>
    <w:rsid w:val="11BD7D63"/>
    <w:rsid w:val="11F565AA"/>
    <w:rsid w:val="12065151"/>
    <w:rsid w:val="120E24DE"/>
    <w:rsid w:val="12553421"/>
    <w:rsid w:val="128E7C64"/>
    <w:rsid w:val="1291555C"/>
    <w:rsid w:val="13040B3D"/>
    <w:rsid w:val="13B9573B"/>
    <w:rsid w:val="13C65A14"/>
    <w:rsid w:val="1411310B"/>
    <w:rsid w:val="142F1575"/>
    <w:rsid w:val="144A5B28"/>
    <w:rsid w:val="14826CDC"/>
    <w:rsid w:val="14B2430F"/>
    <w:rsid w:val="14E22645"/>
    <w:rsid w:val="154D6A43"/>
    <w:rsid w:val="1563754D"/>
    <w:rsid w:val="15803794"/>
    <w:rsid w:val="15B51BE7"/>
    <w:rsid w:val="16056F3B"/>
    <w:rsid w:val="161A1392"/>
    <w:rsid w:val="161A37F0"/>
    <w:rsid w:val="166C25FB"/>
    <w:rsid w:val="17085976"/>
    <w:rsid w:val="175B65E8"/>
    <w:rsid w:val="17954B25"/>
    <w:rsid w:val="17B20671"/>
    <w:rsid w:val="17DF6D88"/>
    <w:rsid w:val="182007E4"/>
    <w:rsid w:val="18283D36"/>
    <w:rsid w:val="182B4E99"/>
    <w:rsid w:val="1888540A"/>
    <w:rsid w:val="18A945D6"/>
    <w:rsid w:val="18E175D7"/>
    <w:rsid w:val="19234952"/>
    <w:rsid w:val="19257D3B"/>
    <w:rsid w:val="19261368"/>
    <w:rsid w:val="19A510D8"/>
    <w:rsid w:val="1A15252B"/>
    <w:rsid w:val="1A2D55BD"/>
    <w:rsid w:val="1A3A4BC7"/>
    <w:rsid w:val="1A701554"/>
    <w:rsid w:val="1AD37ABC"/>
    <w:rsid w:val="1B772841"/>
    <w:rsid w:val="1B776F7D"/>
    <w:rsid w:val="1BDA1941"/>
    <w:rsid w:val="1BF01E33"/>
    <w:rsid w:val="1C12618E"/>
    <w:rsid w:val="1C1924BA"/>
    <w:rsid w:val="1C3A1DF1"/>
    <w:rsid w:val="1C461D99"/>
    <w:rsid w:val="1C5C4D6E"/>
    <w:rsid w:val="1C7930ED"/>
    <w:rsid w:val="1D3865F6"/>
    <w:rsid w:val="1D4D7B04"/>
    <w:rsid w:val="1DB67B4F"/>
    <w:rsid w:val="1E173F37"/>
    <w:rsid w:val="1E711C07"/>
    <w:rsid w:val="1EB121A3"/>
    <w:rsid w:val="1ED704C4"/>
    <w:rsid w:val="1EE33243"/>
    <w:rsid w:val="1F082FB6"/>
    <w:rsid w:val="1F0E3FD6"/>
    <w:rsid w:val="203525D5"/>
    <w:rsid w:val="20597A40"/>
    <w:rsid w:val="20914249"/>
    <w:rsid w:val="20F16898"/>
    <w:rsid w:val="20FA008A"/>
    <w:rsid w:val="215B3C12"/>
    <w:rsid w:val="21686376"/>
    <w:rsid w:val="216C5099"/>
    <w:rsid w:val="218B1C82"/>
    <w:rsid w:val="21C4312D"/>
    <w:rsid w:val="221252D2"/>
    <w:rsid w:val="22831E64"/>
    <w:rsid w:val="22993F5E"/>
    <w:rsid w:val="22B46AD8"/>
    <w:rsid w:val="22F80C11"/>
    <w:rsid w:val="2330576B"/>
    <w:rsid w:val="244A0868"/>
    <w:rsid w:val="246326E0"/>
    <w:rsid w:val="249109DF"/>
    <w:rsid w:val="249D3851"/>
    <w:rsid w:val="24A116DB"/>
    <w:rsid w:val="24C83944"/>
    <w:rsid w:val="25563F21"/>
    <w:rsid w:val="25CC7265"/>
    <w:rsid w:val="265864B5"/>
    <w:rsid w:val="26962D6E"/>
    <w:rsid w:val="26DB42F0"/>
    <w:rsid w:val="26FA5E92"/>
    <w:rsid w:val="270E30F7"/>
    <w:rsid w:val="271F08D7"/>
    <w:rsid w:val="27601587"/>
    <w:rsid w:val="27E00188"/>
    <w:rsid w:val="28692B5B"/>
    <w:rsid w:val="287F5D6A"/>
    <w:rsid w:val="28D222F9"/>
    <w:rsid w:val="28EC20B8"/>
    <w:rsid w:val="28FF1EEA"/>
    <w:rsid w:val="291F7EC3"/>
    <w:rsid w:val="292B23D3"/>
    <w:rsid w:val="2A471F30"/>
    <w:rsid w:val="2A5107B5"/>
    <w:rsid w:val="2AC83B75"/>
    <w:rsid w:val="2C1B11D6"/>
    <w:rsid w:val="2C370BE3"/>
    <w:rsid w:val="2C82137B"/>
    <w:rsid w:val="2C9D7085"/>
    <w:rsid w:val="2D102B3E"/>
    <w:rsid w:val="2D33329D"/>
    <w:rsid w:val="2D6C0BB6"/>
    <w:rsid w:val="2D6D5D0E"/>
    <w:rsid w:val="2D7F4227"/>
    <w:rsid w:val="2D834C56"/>
    <w:rsid w:val="2D87501E"/>
    <w:rsid w:val="2DAA7D8F"/>
    <w:rsid w:val="2DD87265"/>
    <w:rsid w:val="2E153839"/>
    <w:rsid w:val="2E510CC9"/>
    <w:rsid w:val="2E732CE8"/>
    <w:rsid w:val="2E9B4D08"/>
    <w:rsid w:val="2FF30097"/>
    <w:rsid w:val="3009727E"/>
    <w:rsid w:val="308B5211"/>
    <w:rsid w:val="308C66F2"/>
    <w:rsid w:val="30A47E2C"/>
    <w:rsid w:val="30F07A57"/>
    <w:rsid w:val="310A5D11"/>
    <w:rsid w:val="315C15EA"/>
    <w:rsid w:val="3177112A"/>
    <w:rsid w:val="31BF6D82"/>
    <w:rsid w:val="32836585"/>
    <w:rsid w:val="33392E68"/>
    <w:rsid w:val="334D68EE"/>
    <w:rsid w:val="3415038E"/>
    <w:rsid w:val="35006B8A"/>
    <w:rsid w:val="35230401"/>
    <w:rsid w:val="35284BA2"/>
    <w:rsid w:val="3556354A"/>
    <w:rsid w:val="357B4C8D"/>
    <w:rsid w:val="35D91DDE"/>
    <w:rsid w:val="36950069"/>
    <w:rsid w:val="37185DF4"/>
    <w:rsid w:val="3757091A"/>
    <w:rsid w:val="376751C0"/>
    <w:rsid w:val="37977414"/>
    <w:rsid w:val="379F0228"/>
    <w:rsid w:val="37C11FF7"/>
    <w:rsid w:val="37FB4140"/>
    <w:rsid w:val="38292ADD"/>
    <w:rsid w:val="383E5813"/>
    <w:rsid w:val="38643568"/>
    <w:rsid w:val="38F6134F"/>
    <w:rsid w:val="38F75410"/>
    <w:rsid w:val="390A6531"/>
    <w:rsid w:val="391B34E6"/>
    <w:rsid w:val="39793A5B"/>
    <w:rsid w:val="39AC568A"/>
    <w:rsid w:val="39FA36BB"/>
    <w:rsid w:val="3A183F1E"/>
    <w:rsid w:val="3A964AB9"/>
    <w:rsid w:val="3AC90D5A"/>
    <w:rsid w:val="3B0730E6"/>
    <w:rsid w:val="3B1F595F"/>
    <w:rsid w:val="3B357175"/>
    <w:rsid w:val="3B611CA7"/>
    <w:rsid w:val="3B9A20AD"/>
    <w:rsid w:val="3C5C4B86"/>
    <w:rsid w:val="3CE62628"/>
    <w:rsid w:val="3D90113A"/>
    <w:rsid w:val="3DD85AB1"/>
    <w:rsid w:val="3DE5302B"/>
    <w:rsid w:val="3DF16341"/>
    <w:rsid w:val="3E8A310B"/>
    <w:rsid w:val="3E943259"/>
    <w:rsid w:val="3ED253CA"/>
    <w:rsid w:val="3EEE2EF0"/>
    <w:rsid w:val="3EF11364"/>
    <w:rsid w:val="3F0668A1"/>
    <w:rsid w:val="3FA64817"/>
    <w:rsid w:val="3FEB5695"/>
    <w:rsid w:val="400276DB"/>
    <w:rsid w:val="402E0D55"/>
    <w:rsid w:val="40A42F4D"/>
    <w:rsid w:val="40BE2031"/>
    <w:rsid w:val="40D333A3"/>
    <w:rsid w:val="40F26916"/>
    <w:rsid w:val="40FD11F9"/>
    <w:rsid w:val="418F6317"/>
    <w:rsid w:val="41DC4FC7"/>
    <w:rsid w:val="421621DF"/>
    <w:rsid w:val="421763A7"/>
    <w:rsid w:val="421C16F9"/>
    <w:rsid w:val="42326264"/>
    <w:rsid w:val="42630A76"/>
    <w:rsid w:val="42DF514A"/>
    <w:rsid w:val="43260A25"/>
    <w:rsid w:val="4349251F"/>
    <w:rsid w:val="435B07A3"/>
    <w:rsid w:val="436C4889"/>
    <w:rsid w:val="43780013"/>
    <w:rsid w:val="43956364"/>
    <w:rsid w:val="43BF1DA2"/>
    <w:rsid w:val="43D31B49"/>
    <w:rsid w:val="43DF1D59"/>
    <w:rsid w:val="44155AAD"/>
    <w:rsid w:val="44480139"/>
    <w:rsid w:val="444D502C"/>
    <w:rsid w:val="445758B7"/>
    <w:rsid w:val="447667F4"/>
    <w:rsid w:val="447B3E25"/>
    <w:rsid w:val="448113C3"/>
    <w:rsid w:val="45105FAA"/>
    <w:rsid w:val="45C75FE7"/>
    <w:rsid w:val="45EA7BD1"/>
    <w:rsid w:val="45F82033"/>
    <w:rsid w:val="46080247"/>
    <w:rsid w:val="46831300"/>
    <w:rsid w:val="46E92B12"/>
    <w:rsid w:val="46FE793C"/>
    <w:rsid w:val="471879D2"/>
    <w:rsid w:val="473933D8"/>
    <w:rsid w:val="47742B03"/>
    <w:rsid w:val="47A643A3"/>
    <w:rsid w:val="47F114A8"/>
    <w:rsid w:val="48322111"/>
    <w:rsid w:val="486F5CB0"/>
    <w:rsid w:val="48834B3B"/>
    <w:rsid w:val="48924677"/>
    <w:rsid w:val="48D06431"/>
    <w:rsid w:val="49222F05"/>
    <w:rsid w:val="499F7C8A"/>
    <w:rsid w:val="49A35907"/>
    <w:rsid w:val="49B57D2D"/>
    <w:rsid w:val="49F511D9"/>
    <w:rsid w:val="4A40622C"/>
    <w:rsid w:val="4A8D1D0D"/>
    <w:rsid w:val="4ACC713A"/>
    <w:rsid w:val="4ADA133B"/>
    <w:rsid w:val="4AEE79C2"/>
    <w:rsid w:val="4B636F6F"/>
    <w:rsid w:val="4B9B1505"/>
    <w:rsid w:val="4BC86467"/>
    <w:rsid w:val="4CD7255A"/>
    <w:rsid w:val="4E7D27BD"/>
    <w:rsid w:val="4EA1523F"/>
    <w:rsid w:val="4EA55AC5"/>
    <w:rsid w:val="4F12591E"/>
    <w:rsid w:val="4FEE0D95"/>
    <w:rsid w:val="50AE7A5B"/>
    <w:rsid w:val="50D31EC3"/>
    <w:rsid w:val="50E22053"/>
    <w:rsid w:val="51124AE0"/>
    <w:rsid w:val="513915C1"/>
    <w:rsid w:val="514577D2"/>
    <w:rsid w:val="516D315B"/>
    <w:rsid w:val="517E2F1F"/>
    <w:rsid w:val="518B37BE"/>
    <w:rsid w:val="51BF1F24"/>
    <w:rsid w:val="521F577D"/>
    <w:rsid w:val="522E1AE9"/>
    <w:rsid w:val="526572FD"/>
    <w:rsid w:val="528C78DB"/>
    <w:rsid w:val="52F97BA9"/>
    <w:rsid w:val="52FE23A9"/>
    <w:rsid w:val="53601A62"/>
    <w:rsid w:val="539377BB"/>
    <w:rsid w:val="543656FA"/>
    <w:rsid w:val="545B616E"/>
    <w:rsid w:val="549A06C6"/>
    <w:rsid w:val="5665465A"/>
    <w:rsid w:val="56937EEC"/>
    <w:rsid w:val="574F0265"/>
    <w:rsid w:val="57776F2C"/>
    <w:rsid w:val="577E6642"/>
    <w:rsid w:val="578B6FFA"/>
    <w:rsid w:val="57A23E43"/>
    <w:rsid w:val="57A459E5"/>
    <w:rsid w:val="57BC32AE"/>
    <w:rsid w:val="57F71A4D"/>
    <w:rsid w:val="580573F5"/>
    <w:rsid w:val="58345836"/>
    <w:rsid w:val="583A27FF"/>
    <w:rsid w:val="588E3ECA"/>
    <w:rsid w:val="58D36CA9"/>
    <w:rsid w:val="591606E4"/>
    <w:rsid w:val="59CB1324"/>
    <w:rsid w:val="5A572BC8"/>
    <w:rsid w:val="5A59297B"/>
    <w:rsid w:val="5A7C7BCB"/>
    <w:rsid w:val="5A940816"/>
    <w:rsid w:val="5AA75AC7"/>
    <w:rsid w:val="5B2C0774"/>
    <w:rsid w:val="5B3C287E"/>
    <w:rsid w:val="5B774640"/>
    <w:rsid w:val="5B9F6479"/>
    <w:rsid w:val="5BD65A56"/>
    <w:rsid w:val="5BF42987"/>
    <w:rsid w:val="5C2C3788"/>
    <w:rsid w:val="5C397CD6"/>
    <w:rsid w:val="5C866752"/>
    <w:rsid w:val="5CEA7A7B"/>
    <w:rsid w:val="5EB26F2E"/>
    <w:rsid w:val="5EC448A4"/>
    <w:rsid w:val="5ECD65B7"/>
    <w:rsid w:val="5EE64C65"/>
    <w:rsid w:val="5F1E031E"/>
    <w:rsid w:val="5F515DD3"/>
    <w:rsid w:val="5F534BB1"/>
    <w:rsid w:val="5F892129"/>
    <w:rsid w:val="60344A2A"/>
    <w:rsid w:val="60982750"/>
    <w:rsid w:val="60F21A20"/>
    <w:rsid w:val="60F86254"/>
    <w:rsid w:val="612C24F7"/>
    <w:rsid w:val="612F22F7"/>
    <w:rsid w:val="61403388"/>
    <w:rsid w:val="614135C9"/>
    <w:rsid w:val="62071E40"/>
    <w:rsid w:val="621F23A9"/>
    <w:rsid w:val="62DE47C0"/>
    <w:rsid w:val="632931FC"/>
    <w:rsid w:val="6380747F"/>
    <w:rsid w:val="639E5BEA"/>
    <w:rsid w:val="63F01604"/>
    <w:rsid w:val="647731E5"/>
    <w:rsid w:val="64C31D16"/>
    <w:rsid w:val="64DF47C4"/>
    <w:rsid w:val="64F24C74"/>
    <w:rsid w:val="65267290"/>
    <w:rsid w:val="654E19AA"/>
    <w:rsid w:val="65555FB8"/>
    <w:rsid w:val="65637652"/>
    <w:rsid w:val="65643D7D"/>
    <w:rsid w:val="65834D96"/>
    <w:rsid w:val="65B34179"/>
    <w:rsid w:val="65BF50B8"/>
    <w:rsid w:val="660B7B92"/>
    <w:rsid w:val="662A3FE1"/>
    <w:rsid w:val="667A19A0"/>
    <w:rsid w:val="667B5BF2"/>
    <w:rsid w:val="66935571"/>
    <w:rsid w:val="66945330"/>
    <w:rsid w:val="66F67FF7"/>
    <w:rsid w:val="678939A1"/>
    <w:rsid w:val="67A167DE"/>
    <w:rsid w:val="67D766C2"/>
    <w:rsid w:val="67F75393"/>
    <w:rsid w:val="67F84021"/>
    <w:rsid w:val="68C81943"/>
    <w:rsid w:val="68D3693A"/>
    <w:rsid w:val="6979531C"/>
    <w:rsid w:val="69DA4A94"/>
    <w:rsid w:val="6A1C67AC"/>
    <w:rsid w:val="6B3C4C2E"/>
    <w:rsid w:val="6B712C1D"/>
    <w:rsid w:val="6B7E44CD"/>
    <w:rsid w:val="6BF55728"/>
    <w:rsid w:val="6C04678A"/>
    <w:rsid w:val="6C5C45C9"/>
    <w:rsid w:val="6CBA6640"/>
    <w:rsid w:val="6CBB3D7D"/>
    <w:rsid w:val="6D2870B2"/>
    <w:rsid w:val="6D886507"/>
    <w:rsid w:val="6D893927"/>
    <w:rsid w:val="6DC15CA4"/>
    <w:rsid w:val="6E5460CE"/>
    <w:rsid w:val="6E6837B1"/>
    <w:rsid w:val="6EAD6AA4"/>
    <w:rsid w:val="6EF85A61"/>
    <w:rsid w:val="6F0A0BE1"/>
    <w:rsid w:val="6F135845"/>
    <w:rsid w:val="6F156BCB"/>
    <w:rsid w:val="6F307B66"/>
    <w:rsid w:val="6F725561"/>
    <w:rsid w:val="6F9F3FA4"/>
    <w:rsid w:val="700B67D6"/>
    <w:rsid w:val="70114D64"/>
    <w:rsid w:val="705341A8"/>
    <w:rsid w:val="7094155A"/>
    <w:rsid w:val="709A6C70"/>
    <w:rsid w:val="719107EA"/>
    <w:rsid w:val="71BB45E7"/>
    <w:rsid w:val="72134D54"/>
    <w:rsid w:val="721D4881"/>
    <w:rsid w:val="722561C4"/>
    <w:rsid w:val="725D2A1D"/>
    <w:rsid w:val="72A120B7"/>
    <w:rsid w:val="72A223BA"/>
    <w:rsid w:val="72B612C9"/>
    <w:rsid w:val="72E909F4"/>
    <w:rsid w:val="734C2C26"/>
    <w:rsid w:val="73942896"/>
    <w:rsid w:val="73BF6D5F"/>
    <w:rsid w:val="73D260F7"/>
    <w:rsid w:val="74691929"/>
    <w:rsid w:val="74745103"/>
    <w:rsid w:val="74876F3B"/>
    <w:rsid w:val="74B274C1"/>
    <w:rsid w:val="74E364C4"/>
    <w:rsid w:val="74F90FC7"/>
    <w:rsid w:val="7502377A"/>
    <w:rsid w:val="754C34EF"/>
    <w:rsid w:val="75C4293C"/>
    <w:rsid w:val="75FA091B"/>
    <w:rsid w:val="763E4187"/>
    <w:rsid w:val="7644400A"/>
    <w:rsid w:val="766D2015"/>
    <w:rsid w:val="766E5C8D"/>
    <w:rsid w:val="77004F2B"/>
    <w:rsid w:val="77285687"/>
    <w:rsid w:val="773B1F26"/>
    <w:rsid w:val="774B715B"/>
    <w:rsid w:val="77761208"/>
    <w:rsid w:val="77983E69"/>
    <w:rsid w:val="78261BE9"/>
    <w:rsid w:val="7866112E"/>
    <w:rsid w:val="78D57539"/>
    <w:rsid w:val="790B0D47"/>
    <w:rsid w:val="79102C52"/>
    <w:rsid w:val="792F4999"/>
    <w:rsid w:val="793A1CC7"/>
    <w:rsid w:val="794C285F"/>
    <w:rsid w:val="7958005D"/>
    <w:rsid w:val="795E7858"/>
    <w:rsid w:val="797C589C"/>
    <w:rsid w:val="79915ADD"/>
    <w:rsid w:val="79A163F4"/>
    <w:rsid w:val="7A204E56"/>
    <w:rsid w:val="7A220314"/>
    <w:rsid w:val="7A366C53"/>
    <w:rsid w:val="7A5052A4"/>
    <w:rsid w:val="7B7124E4"/>
    <w:rsid w:val="7B9532AD"/>
    <w:rsid w:val="7BB018A4"/>
    <w:rsid w:val="7BBA07B5"/>
    <w:rsid w:val="7BD7149C"/>
    <w:rsid w:val="7BE82DE2"/>
    <w:rsid w:val="7BEA6F93"/>
    <w:rsid w:val="7C6B4C6A"/>
    <w:rsid w:val="7CAD4528"/>
    <w:rsid w:val="7D15774D"/>
    <w:rsid w:val="7D2135CD"/>
    <w:rsid w:val="7D487929"/>
    <w:rsid w:val="7DB65610"/>
    <w:rsid w:val="7EA56BEF"/>
    <w:rsid w:val="7EC12E2F"/>
    <w:rsid w:val="7F840F73"/>
    <w:rsid w:val="7FBB6880"/>
    <w:rsid w:val="7FEE47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locked/>
    <w:uiPriority w:val="0"/>
    <w:pPr>
      <w:keepNext/>
      <w:keepLines/>
      <w:numPr>
        <w:ilvl w:val="1"/>
        <w:numId w:val="1"/>
      </w:numPr>
      <w:spacing w:before="260" w:beforeLines="0" w:beforeAutospacing="0" w:after="260" w:afterLines="0" w:afterAutospacing="0" w:line="413" w:lineRule="auto"/>
      <w:ind w:firstLineChars="0"/>
      <w:outlineLvl w:val="1"/>
    </w:pPr>
    <w:rPr>
      <w:rFonts w:ascii="Arial" w:hAnsi="Arial" w:eastAsia="黑体"/>
      <w:b/>
      <w:sz w:val="30"/>
    </w:rPr>
  </w:style>
  <w:style w:type="paragraph" w:styleId="6">
    <w:name w:val="heading 3"/>
    <w:basedOn w:val="1"/>
    <w:next w:val="1"/>
    <w:unhideWhenUsed/>
    <w:qFormat/>
    <w:locked/>
    <w:uiPriority w:val="0"/>
    <w:pPr>
      <w:spacing w:before="100" w:beforeAutospacing="1" w:after="100" w:afterAutospacing="1"/>
      <w:jc w:val="left"/>
    </w:pPr>
    <w:rPr>
      <w:rFonts w:hint="eastAsia" w:ascii="宋体" w:hAnsi="宋体" w:eastAsia="宋体" w:cs="宋体"/>
      <w:kern w:val="0"/>
      <w:sz w:val="27"/>
      <w:szCs w:val="27"/>
      <w:lang w:val="en-US" w:eastAsia="zh-CN" w:bidi="ar"/>
    </w:rPr>
  </w:style>
  <w:style w:type="character" w:default="1" w:styleId="18">
    <w:name w:val="Default Paragraph Font"/>
    <w:link w:val="19"/>
    <w:semiHidden/>
    <w:qFormat/>
    <w:uiPriority w:val="99"/>
    <w:rPr>
      <w:rFonts w:ascii="Calibri" w:hAnsi="Calibri"/>
    </w:rPr>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4"/>
    <w:qFormat/>
    <w:uiPriority w:val="99"/>
    <w:pPr>
      <w:spacing w:after="120"/>
      <w:ind w:left="200" w:leftChars="200" w:firstLine="420" w:firstLineChars="200"/>
    </w:pPr>
    <w:rPr>
      <w:rFonts w:ascii="Times New Roman"/>
    </w:rPr>
  </w:style>
  <w:style w:type="paragraph" w:styleId="3">
    <w:name w:val="Body Text Indent"/>
    <w:basedOn w:val="1"/>
    <w:link w:val="30"/>
    <w:qFormat/>
    <w:uiPriority w:val="99"/>
    <w:pPr>
      <w:ind w:left="420"/>
    </w:pPr>
    <w:rPr>
      <w:rFonts w:ascii="仿宋_GB2312" w:eastAsia="仿宋_GB2312"/>
      <w:sz w:val="32"/>
    </w:rPr>
  </w:style>
  <w:style w:type="paragraph" w:styleId="7">
    <w:name w:val="Normal Indent"/>
    <w:basedOn w:val="1"/>
    <w:qFormat/>
    <w:uiPriority w:val="99"/>
    <w:pPr>
      <w:ind w:firstLine="420"/>
    </w:pPr>
  </w:style>
  <w:style w:type="paragraph" w:styleId="8">
    <w:name w:val="annotation text"/>
    <w:basedOn w:val="1"/>
    <w:link w:val="28"/>
    <w:qFormat/>
    <w:uiPriority w:val="99"/>
    <w:pPr>
      <w:jc w:val="left"/>
    </w:pPr>
  </w:style>
  <w:style w:type="paragraph" w:styleId="9">
    <w:name w:val="Body Text"/>
    <w:basedOn w:val="1"/>
    <w:next w:val="1"/>
    <w:link w:val="29"/>
    <w:qFormat/>
    <w:uiPriority w:val="99"/>
    <w:pPr>
      <w:spacing w:line="360" w:lineRule="auto"/>
    </w:pPr>
    <w:rPr>
      <w:rFonts w:ascii="宋体" w:hAnsi="宋体"/>
      <w:bCs/>
      <w:sz w:val="24"/>
    </w:rPr>
  </w:style>
  <w:style w:type="paragraph" w:styleId="10">
    <w:name w:val="Plain Text"/>
    <w:basedOn w:val="1"/>
    <w:link w:val="31"/>
    <w:qFormat/>
    <w:uiPriority w:val="99"/>
    <w:rPr>
      <w:rFonts w:ascii="宋体" w:hAnsi="Courier New"/>
    </w:rPr>
  </w:style>
  <w:style w:type="paragraph" w:styleId="11">
    <w:name w:val="footer"/>
    <w:basedOn w:val="1"/>
    <w:link w:val="32"/>
    <w:qFormat/>
    <w:uiPriority w:val="99"/>
    <w:pPr>
      <w:tabs>
        <w:tab w:val="center" w:pos="4153"/>
        <w:tab w:val="right" w:pos="8306"/>
      </w:tabs>
      <w:snapToGrid w:val="0"/>
      <w:jc w:val="left"/>
    </w:pPr>
    <w:rPr>
      <w:sz w:val="18"/>
    </w:rPr>
  </w:style>
  <w:style w:type="paragraph" w:styleId="12">
    <w:name w:val="header"/>
    <w:basedOn w:val="1"/>
    <w:link w:val="3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semiHidden/>
    <w:qFormat/>
    <w:uiPriority w:val="99"/>
    <w:pPr>
      <w:tabs>
        <w:tab w:val="right" w:leader="dot" w:pos="8296"/>
      </w:tabs>
      <w:spacing w:line="480" w:lineRule="exact"/>
      <w:jc w:val="center"/>
    </w:pPr>
    <w:rPr>
      <w:rFonts w:ascii="宋体" w:hAnsi="宋体"/>
      <w:b/>
      <w:sz w:val="30"/>
      <w:szCs w:val="30"/>
    </w:rPr>
  </w:style>
  <w:style w:type="paragraph" w:styleId="14">
    <w:name w:val="toc 2"/>
    <w:basedOn w:val="1"/>
    <w:next w:val="1"/>
    <w:qFormat/>
    <w:uiPriority w:val="99"/>
    <w:pPr>
      <w:ind w:left="420" w:leftChars="200"/>
    </w:pPr>
  </w:style>
  <w:style w:type="paragraph" w:styleId="15">
    <w:name w:val="Normal (Web)"/>
    <w:basedOn w:val="1"/>
    <w:qFormat/>
    <w:uiPriority w:val="99"/>
    <w:pPr>
      <w:spacing w:line="300" w:lineRule="auto"/>
    </w:pPr>
    <w:rPr>
      <w:sz w:val="24"/>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_Style 3"/>
    <w:basedOn w:val="1"/>
    <w:link w:val="18"/>
    <w:qFormat/>
    <w:uiPriority w:val="0"/>
    <w:pPr>
      <w:spacing w:line="240" w:lineRule="atLeast"/>
      <w:ind w:left="420" w:firstLine="420"/>
    </w:pPr>
    <w:rPr>
      <w:rFonts w:ascii="Calibri" w:hAnsi="Calibri"/>
    </w:rPr>
  </w:style>
  <w:style w:type="character" w:styleId="20">
    <w:name w:val="Strong"/>
    <w:basedOn w:val="18"/>
    <w:qFormat/>
    <w:uiPriority w:val="99"/>
    <w:rPr>
      <w:rFonts w:cs="Times New Roman"/>
      <w:b/>
    </w:rPr>
  </w:style>
  <w:style w:type="character" w:styleId="21">
    <w:name w:val="page number"/>
    <w:basedOn w:val="18"/>
    <w:qFormat/>
    <w:uiPriority w:val="0"/>
  </w:style>
  <w:style w:type="character" w:styleId="22">
    <w:name w:val="FollowedHyperlink"/>
    <w:basedOn w:val="18"/>
    <w:qFormat/>
    <w:uiPriority w:val="99"/>
    <w:rPr>
      <w:rFonts w:cs="Times New Roman"/>
      <w:color w:val="3366CC"/>
      <w:u w:val="none"/>
    </w:rPr>
  </w:style>
  <w:style w:type="character" w:styleId="23">
    <w:name w:val="Emphasis"/>
    <w:basedOn w:val="18"/>
    <w:qFormat/>
    <w:uiPriority w:val="99"/>
    <w:rPr>
      <w:rFonts w:cs="Times New Roman"/>
      <w:color w:val="CC0000"/>
    </w:rPr>
  </w:style>
  <w:style w:type="character" w:styleId="24">
    <w:name w:val="HTML Definition"/>
    <w:basedOn w:val="18"/>
    <w:qFormat/>
    <w:uiPriority w:val="99"/>
    <w:rPr>
      <w:rFonts w:cs="Times New Roman"/>
      <w:i/>
    </w:rPr>
  </w:style>
  <w:style w:type="character" w:styleId="25">
    <w:name w:val="Hyperlink"/>
    <w:basedOn w:val="18"/>
    <w:qFormat/>
    <w:uiPriority w:val="99"/>
    <w:rPr>
      <w:rFonts w:cs="Times New Roman"/>
      <w:color w:val="000000"/>
      <w:u w:val="none"/>
    </w:rPr>
  </w:style>
  <w:style w:type="character" w:styleId="26">
    <w:name w:val="HTML Cite"/>
    <w:basedOn w:val="18"/>
    <w:qFormat/>
    <w:uiPriority w:val="99"/>
    <w:rPr>
      <w:rFonts w:cs="Times New Roman"/>
      <w:color w:val="008000"/>
    </w:rPr>
  </w:style>
  <w:style w:type="paragraph" w:customStyle="1" w:styleId="27">
    <w:name w:val="正文1"/>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8">
    <w:name w:val="Comment Text Char"/>
    <w:basedOn w:val="18"/>
    <w:link w:val="8"/>
    <w:semiHidden/>
    <w:qFormat/>
    <w:uiPriority w:val="99"/>
    <w:rPr>
      <w:szCs w:val="24"/>
    </w:rPr>
  </w:style>
  <w:style w:type="character" w:customStyle="1" w:styleId="29">
    <w:name w:val="Body Text Char"/>
    <w:basedOn w:val="18"/>
    <w:link w:val="9"/>
    <w:semiHidden/>
    <w:qFormat/>
    <w:uiPriority w:val="99"/>
    <w:rPr>
      <w:szCs w:val="24"/>
    </w:rPr>
  </w:style>
  <w:style w:type="character" w:customStyle="1" w:styleId="30">
    <w:name w:val="Body Text Indent Char"/>
    <w:basedOn w:val="18"/>
    <w:link w:val="3"/>
    <w:semiHidden/>
    <w:qFormat/>
    <w:uiPriority w:val="99"/>
    <w:rPr>
      <w:szCs w:val="24"/>
    </w:rPr>
  </w:style>
  <w:style w:type="character" w:customStyle="1" w:styleId="31">
    <w:name w:val="Plain Text Char"/>
    <w:basedOn w:val="18"/>
    <w:link w:val="10"/>
    <w:semiHidden/>
    <w:qFormat/>
    <w:uiPriority w:val="99"/>
    <w:rPr>
      <w:rFonts w:ascii="宋体" w:hAnsi="Courier New" w:cs="Courier New"/>
      <w:szCs w:val="21"/>
    </w:rPr>
  </w:style>
  <w:style w:type="character" w:customStyle="1" w:styleId="32">
    <w:name w:val="Footer Char"/>
    <w:basedOn w:val="18"/>
    <w:link w:val="11"/>
    <w:semiHidden/>
    <w:qFormat/>
    <w:uiPriority w:val="99"/>
    <w:rPr>
      <w:sz w:val="18"/>
      <w:szCs w:val="18"/>
    </w:rPr>
  </w:style>
  <w:style w:type="character" w:customStyle="1" w:styleId="33">
    <w:name w:val="Header Char"/>
    <w:basedOn w:val="18"/>
    <w:link w:val="12"/>
    <w:semiHidden/>
    <w:qFormat/>
    <w:uiPriority w:val="99"/>
    <w:rPr>
      <w:sz w:val="18"/>
      <w:szCs w:val="18"/>
    </w:rPr>
  </w:style>
  <w:style w:type="character" w:customStyle="1" w:styleId="34">
    <w:name w:val="Body Text First Indent 2 Char"/>
    <w:basedOn w:val="30"/>
    <w:link w:val="2"/>
    <w:semiHidden/>
    <w:qFormat/>
    <w:uiPriority w:val="99"/>
  </w:style>
  <w:style w:type="paragraph" w:customStyle="1" w:styleId="35">
    <w:name w:val="表格文字"/>
    <w:basedOn w:val="1"/>
    <w:next w:val="9"/>
    <w:qFormat/>
    <w:uiPriority w:val="99"/>
    <w:pPr>
      <w:adjustRightInd w:val="0"/>
      <w:spacing w:line="420" w:lineRule="atLeast"/>
      <w:jc w:val="left"/>
      <w:textAlignment w:val="baseline"/>
    </w:pPr>
    <w:rPr>
      <w:kern w:val="0"/>
      <w:szCs w:val="20"/>
    </w:rPr>
  </w:style>
  <w:style w:type="paragraph" w:customStyle="1" w:styleId="36">
    <w:name w:val="样式3"/>
    <w:basedOn w:val="10"/>
    <w:qFormat/>
    <w:uiPriority w:val="99"/>
    <w:pPr>
      <w:spacing w:line="240" w:lineRule="atLeast"/>
      <w:outlineLvl w:val="0"/>
    </w:pPr>
    <w:rPr>
      <w:sz w:val="28"/>
      <w:szCs w:val="20"/>
    </w:rPr>
  </w:style>
  <w:style w:type="paragraph" w:customStyle="1" w:styleId="37">
    <w:name w:val="Default"/>
    <w:qFormat/>
    <w:uiPriority w:val="99"/>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character" w:customStyle="1" w:styleId="38">
    <w:name w:val="c-icon"/>
    <w:basedOn w:val="18"/>
    <w:qFormat/>
    <w:uiPriority w:val="99"/>
    <w:rPr>
      <w:rFonts w:cs="Times New Roman"/>
    </w:rPr>
  </w:style>
  <w:style w:type="character" w:customStyle="1" w:styleId="39">
    <w:name w:val="input_span1"/>
    <w:basedOn w:val="18"/>
    <w:qFormat/>
    <w:uiPriority w:val="99"/>
    <w:rPr>
      <w:rFonts w:cs="Times New Roman"/>
      <w:bdr w:val="single" w:color="9B9B9B" w:sz="6" w:space="0"/>
    </w:rPr>
  </w:style>
  <w:style w:type="character" w:customStyle="1" w:styleId="40">
    <w:name w:val="col3"/>
    <w:basedOn w:val="18"/>
    <w:qFormat/>
    <w:uiPriority w:val="99"/>
    <w:rPr>
      <w:rFonts w:cs="Times New Roman"/>
    </w:rPr>
  </w:style>
  <w:style w:type="character" w:customStyle="1" w:styleId="41">
    <w:name w:val="inputhighlight"/>
    <w:basedOn w:val="18"/>
    <w:qFormat/>
    <w:uiPriority w:val="99"/>
    <w:rPr>
      <w:rFonts w:cs="Times New Roman"/>
    </w:rPr>
  </w:style>
  <w:style w:type="character" w:customStyle="1" w:styleId="42">
    <w:name w:val="col1"/>
    <w:basedOn w:val="18"/>
    <w:qFormat/>
    <w:uiPriority w:val="99"/>
    <w:rPr>
      <w:rFonts w:cs="Times New Roman"/>
    </w:rPr>
  </w:style>
  <w:style w:type="character" w:customStyle="1" w:styleId="43">
    <w:name w:val="remainvalue"/>
    <w:basedOn w:val="18"/>
    <w:qFormat/>
    <w:uiPriority w:val="99"/>
    <w:rPr>
      <w:rFonts w:ascii="微软雅黑" w:hAnsi="微软雅黑" w:eastAsia="微软雅黑" w:cs="微软雅黑"/>
      <w:b/>
      <w:color w:val="FF0000"/>
      <w:sz w:val="30"/>
      <w:szCs w:val="30"/>
    </w:rPr>
  </w:style>
  <w:style w:type="character" w:customStyle="1" w:styleId="44">
    <w:name w:val="gjfg"/>
    <w:basedOn w:val="18"/>
    <w:qFormat/>
    <w:uiPriority w:val="0"/>
  </w:style>
  <w:style w:type="character" w:customStyle="1" w:styleId="45">
    <w:name w:val="redfilefwwh"/>
    <w:basedOn w:val="18"/>
    <w:qFormat/>
    <w:uiPriority w:val="0"/>
    <w:rPr>
      <w:color w:val="BA2636"/>
      <w:sz w:val="18"/>
      <w:szCs w:val="18"/>
    </w:rPr>
  </w:style>
  <w:style w:type="character" w:customStyle="1" w:styleId="46">
    <w:name w:val="redfilenumber"/>
    <w:basedOn w:val="18"/>
    <w:qFormat/>
    <w:uiPriority w:val="0"/>
    <w:rPr>
      <w:color w:val="BA2636"/>
      <w:sz w:val="18"/>
      <w:szCs w:val="18"/>
    </w:rPr>
  </w:style>
  <w:style w:type="character" w:customStyle="1" w:styleId="47">
    <w:name w:val="qxdate"/>
    <w:basedOn w:val="18"/>
    <w:qFormat/>
    <w:uiPriority w:val="0"/>
    <w:rPr>
      <w:color w:val="333333"/>
      <w:sz w:val="18"/>
      <w:szCs w:val="18"/>
    </w:rPr>
  </w:style>
  <w:style w:type="character" w:customStyle="1" w:styleId="48">
    <w:name w:val="displayarti"/>
    <w:basedOn w:val="18"/>
    <w:qFormat/>
    <w:uiPriority w:val="0"/>
    <w:rPr>
      <w:color w:val="FFFFFF"/>
      <w:shd w:val="clear" w:fill="A00000"/>
    </w:rPr>
  </w:style>
  <w:style w:type="character" w:customStyle="1" w:styleId="49">
    <w:name w:val="cfdate"/>
    <w:basedOn w:val="18"/>
    <w:qFormat/>
    <w:uiPriority w:val="0"/>
    <w:rPr>
      <w:color w:val="333333"/>
      <w:sz w:val="18"/>
      <w:szCs w:val="18"/>
    </w:rPr>
  </w:style>
  <w:style w:type="character" w:customStyle="1" w:styleId="50">
    <w:name w:val="c-icon14"/>
    <w:basedOn w:val="18"/>
    <w:qFormat/>
    <w:uiPriority w:val="0"/>
  </w:style>
  <w:style w:type="paragraph" w:customStyle="1" w:styleId="51">
    <w:name w:val="op_mapdots_left"/>
    <w:basedOn w:val="1"/>
    <w:qFormat/>
    <w:uiPriority w:val="0"/>
    <w:pPr>
      <w:pBdr>
        <w:left w:val="none" w:color="auto" w:sz="0" w:space="0"/>
      </w:pBdr>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62</Pages>
  <Words>6044</Words>
  <Lines>0</Lines>
  <Paragraphs>0</Paragraphs>
  <TotalTime>17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2019-10-09T08:11:00Z</dcterms:created>
  <dc:creator>pc</dc:creator>
  <cp:lastModifiedBy>林伟明</cp:lastModifiedBy>
  <cp:lastPrinted>2020-06-12T01:37:00Z</cp:lastPrinted>
  <dcterms:modified xsi:type="dcterms:W3CDTF">2021-07-15T00:52:03Z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10C315403FCB4043B51B7942526F137A</vt:lpwstr>
  </property>
</Properties>
</file>